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footer12.xml" ContentType="application/vnd.openxmlformats-officedocument.wordprocessingml.footer+xml"/>
  <Override PartName="/word/styles.xml" ContentType="application/vnd.openxmlformats-officedocument.wordprocessingml.styles+xml"/>
  <Override PartName="/word/header2.xml" ContentType="application/vnd.openxmlformats-officedocument.wordprocessingml.header+xml"/>
  <Override PartName="/word/footer4.xml" ContentType="application/vnd.openxmlformats-officedocument.wordprocessingml.footer+xml"/>
  <Override PartName="/word/footer16.xml" ContentType="application/vnd.openxmlformats-officedocument.wordprocessingml.footer+xml"/>
  <Override PartName="/word/media/image28.png" ContentType="image/png"/>
  <Override PartName="/word/media/image1.jpeg" ContentType="image/jpeg"/>
  <Override PartName="/word/media/image8.png" ContentType="image/png"/>
  <Override PartName="/word/media/image38.png" ContentType="image/png"/>
  <Override PartName="/word/media/image2.jpeg" ContentType="image/jpeg"/>
  <Override PartName="/word/media/image5.png" ContentType="image/png"/>
  <Override PartName="/word/media/image3.jpeg" ContentType="image/jpeg"/>
  <Override PartName="/word/media/image4.jpeg" ContentType="image/jpeg"/>
  <Override PartName="/word/media/image21.png" ContentType="image/png"/>
  <Override PartName="/word/media/image6.jpeg" ContentType="image/jpeg"/>
  <Override PartName="/word/media/image7.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9.png" ContentType="image/png"/>
  <Override PartName="/word/media/image30.png" ContentType="image/png"/>
  <Override PartName="/word/media/image31.png" ContentType="image/png"/>
  <Override PartName="/word/media/image44.wmf" ContentType="image/x-wmf"/>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header1.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numbering.xml" ContentType="application/vnd.openxmlformats-officedocument.wordprocessingml.numbering+xml"/>
  <Override PartName="/word/footer1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footer18.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BodyText3"/>
        <w:ind w:hanging="0"/>
        <w:rPr>
          <w:color w:val="00000A"/>
        </w:rPr>
      </w:pPr>
      <w:r>
        <w:drawing>
          <wp:anchor behindDoc="0" distT="0" distB="0" distL="114300" distR="114300" simplePos="0" locked="0" layoutInCell="1" allowOverlap="1" relativeHeight="3">
            <wp:simplePos x="0" y="0"/>
            <wp:positionH relativeFrom="page">
              <wp:posOffset>3221990</wp:posOffset>
            </wp:positionH>
            <wp:positionV relativeFrom="paragraph">
              <wp:posOffset>-445770</wp:posOffset>
            </wp:positionV>
            <wp:extent cx="1301115" cy="1073150"/>
            <wp:effectExtent l="0" t="0" r="0" b="0"/>
            <wp:wrapNone/>
            <wp:docPr id="1" name="Obraz 51" descr="logo_29_12_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51" descr="logo_29_12_2016"/>
                    <pic:cNvPicPr>
                      <a:picLocks noChangeAspect="1" noChangeArrowheads="1"/>
                    </pic:cNvPicPr>
                  </pic:nvPicPr>
                  <pic:blipFill>
                    <a:blip r:embed="rId2"/>
                    <a:stretch>
                      <a:fillRect/>
                    </a:stretch>
                  </pic:blipFill>
                  <pic:spPr bwMode="auto">
                    <a:xfrm>
                      <a:off x="0" y="0"/>
                      <a:ext cx="1301115" cy="1073150"/>
                    </a:xfrm>
                    <a:prstGeom prst="rect">
                      <a:avLst/>
                    </a:prstGeom>
                  </pic:spPr>
                </pic:pic>
              </a:graphicData>
            </a:graphic>
          </wp:anchor>
        </w:drawing>
      </w:r>
      <w:r>
        <w:rPr>
          <w:color w:val="00000A"/>
        </w:rPr>
        <w:t xml:space="preserve"> </w:t>
      </w:r>
    </w:p>
    <w:p>
      <w:pPr>
        <w:pStyle w:val="BodyText3"/>
        <w:ind w:hanging="0"/>
        <w:rPr>
          <w:color w:val="00000A"/>
        </w:rPr>
      </w:pPr>
      <w:r>
        <w:rPr>
          <w:color w:val="00000A"/>
        </w:rPr>
      </w:r>
    </w:p>
    <w:p>
      <w:pPr>
        <w:pStyle w:val="BodyText3"/>
        <w:ind w:hanging="0"/>
        <w:rPr>
          <w:color w:val="00000A"/>
        </w:rPr>
      </w:pPr>
      <w:r>
        <w:rPr>
          <w:color w:val="00000A"/>
        </w:rPr>
      </w:r>
    </w:p>
    <w:p>
      <w:pPr>
        <w:pStyle w:val="BodyText3"/>
        <w:ind w:hanging="0"/>
        <w:rPr>
          <w:color w:val="00000A"/>
          <w:sz w:val="36"/>
        </w:rPr>
      </w:pPr>
      <w:r>
        <w:rPr>
          <w:color w:val="00000A"/>
          <w:sz w:val="36"/>
        </w:rPr>
      </w:r>
    </w:p>
    <w:p>
      <w:pPr>
        <w:pStyle w:val="Normal"/>
        <w:ind w:hanging="0"/>
        <w:jc w:val="center"/>
        <w:rPr>
          <w:rFonts w:ascii="Trebuchet MS" w:hAnsi="Trebuchet MS" w:cs="Tahoma"/>
          <w:color w:val="00000A"/>
        </w:rPr>
      </w:pPr>
      <w:r>
        <w:rPr>
          <w:rFonts w:cs="Tahoma" w:ascii="Trebuchet MS" w:hAnsi="Trebuchet MS"/>
          <w:color w:val="00000A"/>
        </w:rPr>
        <w:t xml:space="preserve">05-400 Otwock, ul. Filipowicza 3 m. 9 </w:t>
      </w:r>
    </w:p>
    <w:p>
      <w:pPr>
        <w:pStyle w:val="Normal"/>
        <w:ind w:hanging="0"/>
        <w:jc w:val="center"/>
        <w:rPr>
          <w:rFonts w:ascii="Trebuchet MS" w:hAnsi="Trebuchet MS" w:cs="Tahoma"/>
          <w:color w:val="00000A"/>
        </w:rPr>
      </w:pPr>
      <w:r>
        <w:rPr>
          <w:rFonts w:cs="Tahoma" w:ascii="Trebuchet MS" w:hAnsi="Trebuchet MS"/>
          <w:color w:val="00000A"/>
        </w:rPr>
        <w:t>biuro@katena.pl</w:t>
      </w:r>
    </w:p>
    <w:p>
      <w:pPr>
        <w:pStyle w:val="Normal"/>
        <w:ind w:hanging="0"/>
        <w:jc w:val="center"/>
        <w:rPr>
          <w:color w:val="00000A"/>
        </w:rPr>
      </w:pPr>
      <w:r>
        <w:rPr>
          <w:color w:val="00000A"/>
        </w:rPr>
      </w:r>
    </w:p>
    <w:p>
      <w:pPr>
        <w:pStyle w:val="Normal"/>
        <w:pBdr>
          <w:top w:val="single" w:sz="4" w:space="1" w:color="00000A"/>
        </w:pBdr>
        <w:ind w:hanging="0"/>
        <w:jc w:val="center"/>
        <w:rPr>
          <w:b/>
          <w:b/>
          <w:bCs/>
          <w:color w:val="00000A"/>
          <w:sz w:val="40"/>
        </w:rPr>
      </w:pPr>
      <w:r>
        <w:rPr>
          <w:b/>
          <w:bCs/>
          <w:color w:val="00000A"/>
          <w:sz w:val="40"/>
        </w:rPr>
      </w:r>
    </w:p>
    <w:p>
      <w:pPr>
        <w:pStyle w:val="Normal"/>
        <w:ind w:hanging="0"/>
        <w:jc w:val="center"/>
        <w:rPr>
          <w:rFonts w:ascii="Trebuchet MS" w:hAnsi="Trebuchet MS"/>
          <w:b/>
          <w:b/>
          <w:bCs/>
          <w:color w:val="00000A"/>
          <w:sz w:val="36"/>
        </w:rPr>
      </w:pPr>
      <w:r>
        <w:rPr>
          <w:rFonts w:ascii="Trebuchet MS" w:hAnsi="Trebuchet MS"/>
          <w:b/>
          <w:bCs/>
          <w:color w:val="00000A"/>
          <w:sz w:val="36"/>
        </w:rPr>
      </w:r>
    </w:p>
    <w:p>
      <w:pPr>
        <w:pStyle w:val="Normal"/>
        <w:ind w:hanging="0"/>
        <w:jc w:val="center"/>
        <w:rPr>
          <w:rFonts w:ascii="Trebuchet MS" w:hAnsi="Trebuchet MS"/>
          <w:b/>
          <w:b/>
          <w:bCs/>
          <w:color w:val="00000A"/>
          <w:sz w:val="36"/>
        </w:rPr>
      </w:pPr>
      <w:r>
        <w:rPr>
          <w:rFonts w:ascii="Trebuchet MS" w:hAnsi="Trebuchet MS"/>
          <w:b/>
          <w:bCs/>
          <w:color w:val="00000A"/>
          <w:sz w:val="36"/>
        </w:rPr>
      </w:r>
    </w:p>
    <w:p>
      <w:pPr>
        <w:pStyle w:val="Normal"/>
        <w:ind w:hanging="0"/>
        <w:jc w:val="center"/>
        <w:rPr>
          <w:rFonts w:ascii="Trebuchet MS" w:hAnsi="Trebuchet MS"/>
          <w:b/>
          <w:b/>
          <w:bCs/>
          <w:color w:val="00000A"/>
          <w:sz w:val="36"/>
        </w:rPr>
      </w:pPr>
      <w:r>
        <w:rPr>
          <w:rFonts w:ascii="Trebuchet MS" w:hAnsi="Trebuchet MS"/>
          <w:b/>
          <w:bCs/>
          <w:color w:val="00000A"/>
          <w:sz w:val="36"/>
        </w:rPr>
      </w:r>
    </w:p>
    <w:p>
      <w:pPr>
        <w:pStyle w:val="Normal"/>
        <w:ind w:hanging="0"/>
        <w:jc w:val="center"/>
        <w:rPr>
          <w:rFonts w:ascii="Trebuchet MS" w:hAnsi="Trebuchet MS"/>
          <w:b/>
          <w:b/>
          <w:bCs/>
          <w:color w:val="00000A"/>
          <w:sz w:val="36"/>
        </w:rPr>
      </w:pPr>
      <w:r>
        <w:rPr>
          <w:rFonts w:ascii="Trebuchet MS" w:hAnsi="Trebuchet MS"/>
          <w:b/>
          <w:bCs/>
          <w:color w:val="00000A"/>
          <w:sz w:val="36"/>
        </w:rPr>
      </w:r>
    </w:p>
    <w:p>
      <w:pPr>
        <w:pStyle w:val="Normal"/>
        <w:ind w:hanging="0"/>
        <w:jc w:val="center"/>
        <w:rPr>
          <w:rFonts w:ascii="Trebuchet MS" w:hAnsi="Trebuchet MS"/>
          <w:b/>
          <w:b/>
          <w:bCs/>
          <w:color w:val="00000A"/>
          <w:sz w:val="36"/>
        </w:rPr>
      </w:pPr>
      <w:r>
        <w:rPr>
          <w:rFonts w:ascii="Trebuchet MS" w:hAnsi="Trebuchet MS"/>
          <w:b/>
          <w:bCs/>
          <w:color w:val="00000A"/>
          <w:sz w:val="36"/>
        </w:rPr>
        <w:t>RAPORT O ODDZIAŁYWANIU NA ŚRODOWISKO PRZEDSIĘWZIĘCIA POLEGAJĄCEGO NA BUDOWIE CIEPŁOWNI NA BIOMASĘ I PALIWO ALTERNATYWNE</w:t>
      </w:r>
    </w:p>
    <w:p>
      <w:pPr>
        <w:pStyle w:val="Gwka"/>
        <w:ind w:hanging="0"/>
        <w:rPr>
          <w:rFonts w:ascii="Trebuchet MS" w:hAnsi="Trebuchet MS"/>
          <w:color w:val="00000A"/>
        </w:rPr>
      </w:pPr>
      <w:r>
        <w:rPr>
          <w:rFonts w:ascii="Trebuchet MS" w:hAnsi="Trebuchet MS"/>
          <w:color w:val="00000A"/>
        </w:rPr>
      </w:r>
    </w:p>
    <w:p>
      <w:pPr>
        <w:pStyle w:val="Normal"/>
        <w:ind w:hanging="0"/>
        <w:rPr>
          <w:rFonts w:ascii="Trebuchet MS" w:hAnsi="Trebuchet MS"/>
          <w:b/>
          <w:b/>
          <w:color w:val="00000A"/>
        </w:rPr>
      </w:pPr>
      <w:r>
        <w:rPr>
          <w:rFonts w:ascii="Trebuchet MS" w:hAnsi="Trebuchet MS"/>
          <w:b/>
          <w:color w:val="00000A"/>
        </w:rPr>
      </w:r>
    </w:p>
    <w:p>
      <w:pPr>
        <w:pStyle w:val="Normal"/>
        <w:ind w:hanging="0"/>
        <w:rPr>
          <w:rFonts w:ascii="Trebuchet MS" w:hAnsi="Trebuchet MS"/>
          <w:color w:val="00000A"/>
        </w:rPr>
      </w:pPr>
      <w:r>
        <w:rPr>
          <w:rFonts w:ascii="Trebuchet MS" w:hAnsi="Trebuchet MS"/>
          <w:color w:val="00000A"/>
        </w:rPr>
      </w:r>
    </w:p>
    <w:p>
      <w:pPr>
        <w:pStyle w:val="Normal"/>
        <w:ind w:hanging="0"/>
        <w:rPr>
          <w:rFonts w:ascii="Trebuchet MS" w:hAnsi="Trebuchet MS"/>
          <w:color w:val="00000A"/>
        </w:rPr>
      </w:pPr>
      <w:r>
        <w:rPr>
          <w:rFonts w:ascii="Trebuchet MS" w:hAnsi="Trebuchet MS"/>
          <w:color w:val="00000A"/>
        </w:rPr>
      </w:r>
    </w:p>
    <w:p>
      <w:pPr>
        <w:pStyle w:val="Normal"/>
        <w:ind w:left="567" w:hanging="0"/>
        <w:rPr>
          <w:rFonts w:ascii="Trebuchet MS" w:hAnsi="Trebuchet MS"/>
          <w:color w:val="00000A"/>
        </w:rPr>
      </w:pPr>
      <w:r>
        <w:rPr>
          <w:rFonts w:ascii="Trebuchet MS" w:hAnsi="Trebuchet MS"/>
          <w:color w:val="00000A"/>
        </w:rPr>
        <w:t xml:space="preserve">LOKALIZACJA </w:t>
      </w:r>
    </w:p>
    <w:p>
      <w:pPr>
        <w:pStyle w:val="Normal"/>
        <w:ind w:left="567" w:hanging="0"/>
        <w:rPr>
          <w:rFonts w:ascii="Trebuchet MS" w:hAnsi="Trebuchet MS"/>
          <w:color w:val="00000A"/>
        </w:rPr>
      </w:pPr>
      <w:r>
        <w:rPr>
          <w:rFonts w:ascii="Trebuchet MS" w:hAnsi="Trebuchet MS"/>
          <w:color w:val="00000A"/>
        </w:rPr>
        <w:t xml:space="preserve">34-300 Żywiec, ul. Kabaty, </w:t>
      </w:r>
    </w:p>
    <w:p>
      <w:pPr>
        <w:pStyle w:val="Normal"/>
        <w:ind w:left="567" w:hanging="0"/>
        <w:rPr>
          <w:rFonts w:ascii="Trebuchet MS" w:hAnsi="Trebuchet MS"/>
          <w:color w:val="00000A"/>
        </w:rPr>
      </w:pPr>
      <w:r>
        <w:rPr>
          <w:rFonts w:ascii="Trebuchet MS" w:hAnsi="Trebuchet MS"/>
          <w:color w:val="00000A"/>
        </w:rPr>
        <w:t>działka nr 1019/140 obręb 0007 Żywiec</w:t>
      </w:r>
    </w:p>
    <w:p>
      <w:pPr>
        <w:pStyle w:val="Normal"/>
        <w:ind w:left="567" w:hanging="0"/>
        <w:rPr>
          <w:rFonts w:ascii="Trebuchet MS" w:hAnsi="Trebuchet MS"/>
          <w:color w:val="00000A"/>
        </w:rPr>
      </w:pPr>
      <w:r>
        <w:rPr>
          <w:rFonts w:ascii="Trebuchet MS" w:hAnsi="Trebuchet MS"/>
          <w:color w:val="00000A"/>
        </w:rPr>
      </w:r>
    </w:p>
    <w:p>
      <w:pPr>
        <w:pStyle w:val="Normal"/>
        <w:ind w:left="567" w:hanging="0"/>
        <w:rPr>
          <w:rFonts w:ascii="Trebuchet MS" w:hAnsi="Trebuchet MS"/>
          <w:color w:val="00000A"/>
        </w:rPr>
      </w:pPr>
      <w:r>
        <w:rPr>
          <w:rFonts w:ascii="Trebuchet MS" w:hAnsi="Trebuchet MS"/>
          <w:color w:val="00000A"/>
        </w:rPr>
      </w:r>
    </w:p>
    <w:p>
      <w:pPr>
        <w:pStyle w:val="Normal"/>
        <w:ind w:left="567" w:hanging="0"/>
        <w:rPr>
          <w:rFonts w:ascii="Trebuchet MS" w:hAnsi="Trebuchet MS" w:cs="Tahoma"/>
          <w:color w:val="00000A"/>
        </w:rPr>
      </w:pPr>
      <w:r>
        <w:rPr>
          <w:rFonts w:cs="Tahoma" w:ascii="Trebuchet MS" w:hAnsi="Trebuchet MS"/>
          <w:color w:val="00000A"/>
        </w:rPr>
        <w:t xml:space="preserve">INWESTOR     </w:t>
      </w:r>
    </w:p>
    <w:p>
      <w:pPr>
        <w:pStyle w:val="Normal"/>
        <w:tabs>
          <w:tab w:val="left" w:pos="7676" w:leader="none"/>
        </w:tabs>
        <w:ind w:left="567" w:hanging="0"/>
        <w:rPr>
          <w:rFonts w:ascii="Trebuchet MS" w:hAnsi="Trebuchet MS"/>
          <w:color w:val="00000A"/>
        </w:rPr>
      </w:pPr>
      <w:r>
        <w:rPr>
          <w:rFonts w:ascii="Trebuchet MS" w:hAnsi="Trebuchet MS"/>
          <w:color w:val="00000A"/>
        </w:rPr>
        <w:t>Beskid Żywiec Sp. z o.o.</w:t>
        <w:tab/>
      </w:r>
    </w:p>
    <w:p>
      <w:pPr>
        <w:pStyle w:val="Normal"/>
        <w:ind w:left="567" w:hanging="0"/>
        <w:rPr>
          <w:rFonts w:ascii="Trebuchet MS" w:hAnsi="Trebuchet MS"/>
          <w:color w:val="00000A"/>
        </w:rPr>
      </w:pPr>
      <w:r>
        <w:rPr>
          <w:rFonts w:ascii="Trebuchet MS" w:hAnsi="Trebuchet MS"/>
          <w:color w:val="00000A"/>
        </w:rPr>
        <w:t>34-300 Żywiec, ul. Kabaty 2</w:t>
      </w:r>
    </w:p>
    <w:p>
      <w:pPr>
        <w:pStyle w:val="BodyText3"/>
        <w:ind w:hanging="0"/>
        <w:jc w:val="left"/>
        <w:rPr>
          <w:rFonts w:ascii="Trebuchet MS" w:hAnsi="Trebuchet MS" w:cs="Tahoma"/>
          <w:b w:val="false"/>
          <w:b w:val="false"/>
          <w:color w:val="00000A"/>
        </w:rPr>
      </w:pPr>
      <w:r>
        <w:rPr>
          <w:rFonts w:cs="Tahoma" w:ascii="Trebuchet MS" w:hAnsi="Trebuchet MS"/>
          <w:b w:val="false"/>
          <w:color w:val="00000A"/>
        </w:rPr>
        <w:tab/>
        <w:tab/>
      </w:r>
    </w:p>
    <w:p>
      <w:pPr>
        <w:pStyle w:val="BodyText3"/>
        <w:ind w:hanging="0"/>
        <w:jc w:val="left"/>
        <w:rPr>
          <w:rFonts w:ascii="Trebuchet MS" w:hAnsi="Trebuchet MS" w:cs="Tahoma"/>
          <w:b w:val="false"/>
          <w:b w:val="false"/>
          <w:color w:val="00000A"/>
        </w:rPr>
      </w:pPr>
      <w:r>
        <w:rPr>
          <w:rFonts w:cs="Tahoma" w:ascii="Trebuchet MS" w:hAnsi="Trebuchet MS"/>
          <w:b w:val="false"/>
          <w:color w:val="00000A"/>
        </w:rPr>
      </w:r>
    </w:p>
    <w:p>
      <w:pPr>
        <w:pStyle w:val="BodyText3"/>
        <w:ind w:left="567" w:hanging="0"/>
        <w:jc w:val="left"/>
        <w:rPr>
          <w:rFonts w:ascii="Trebuchet MS" w:hAnsi="Trebuchet MS" w:cs="Tahoma"/>
          <w:b w:val="false"/>
          <w:b w:val="false"/>
          <w:color w:val="00000A"/>
        </w:rPr>
      </w:pPr>
      <w:r>
        <w:rPr>
          <w:rFonts w:cs="Tahoma" w:ascii="Trebuchet MS" w:hAnsi="Trebuchet MS"/>
          <w:b w:val="false"/>
          <w:color w:val="00000A"/>
        </w:rPr>
        <w:t>AUTORZY OPRACOWANIA</w:t>
      </w:r>
    </w:p>
    <w:p>
      <w:pPr>
        <w:pStyle w:val="BodyText3"/>
        <w:ind w:left="567" w:hanging="0"/>
        <w:jc w:val="left"/>
        <w:rPr>
          <w:rFonts w:ascii="Trebuchet MS" w:hAnsi="Trebuchet MS" w:cs="Tahoma"/>
          <w:b w:val="false"/>
          <w:b w:val="false"/>
          <w:color w:val="00000A"/>
        </w:rPr>
      </w:pPr>
      <w:r>
        <w:rPr>
          <w:rFonts w:cs="Tahoma" w:ascii="Trebuchet MS" w:hAnsi="Trebuchet MS"/>
          <w:b w:val="false"/>
          <w:color w:val="00000A"/>
        </w:rPr>
        <w:t>mgr Rafał Karwacki – kierownik zespołu</w:t>
      </w:r>
    </w:p>
    <w:p>
      <w:pPr>
        <w:pStyle w:val="BodyText3"/>
        <w:ind w:left="567" w:hanging="0"/>
        <w:jc w:val="left"/>
        <w:rPr>
          <w:rFonts w:ascii="Trebuchet MS" w:hAnsi="Trebuchet MS" w:cs="Tahoma"/>
          <w:b w:val="false"/>
          <w:b w:val="false"/>
          <w:color w:val="00000A"/>
        </w:rPr>
      </w:pPr>
      <w:r>
        <w:rPr>
          <w:rFonts w:cs="Tahoma" w:ascii="Trebuchet MS" w:hAnsi="Trebuchet MS"/>
          <w:b w:val="false"/>
          <w:color w:val="00000A"/>
        </w:rPr>
        <w:t>mgr inż. Joanna Kajdewicz</w:t>
      </w:r>
    </w:p>
    <w:p>
      <w:pPr>
        <w:pStyle w:val="BodyText3"/>
        <w:ind w:left="567" w:hanging="0"/>
        <w:jc w:val="left"/>
        <w:rPr>
          <w:rFonts w:ascii="Trebuchet MS" w:hAnsi="Trebuchet MS" w:cs="Tahoma"/>
          <w:b w:val="false"/>
          <w:b w:val="false"/>
          <w:color w:val="00000A"/>
        </w:rPr>
      </w:pPr>
      <w:r>
        <w:rPr>
          <w:rFonts w:cs="Tahoma" w:ascii="Trebuchet MS" w:hAnsi="Trebuchet MS"/>
          <w:b w:val="false"/>
          <w:color w:val="00000A"/>
        </w:rPr>
        <w:t>mgr Małgorzata Paszkowska</w:t>
      </w:r>
    </w:p>
    <w:p>
      <w:pPr>
        <w:pStyle w:val="BodyText3"/>
        <w:ind w:left="567" w:hanging="0"/>
        <w:jc w:val="left"/>
        <w:rPr>
          <w:rFonts w:ascii="Trebuchet MS" w:hAnsi="Trebuchet MS" w:cs="Tahoma"/>
          <w:b w:val="false"/>
          <w:b w:val="false"/>
          <w:color w:val="00000A"/>
        </w:rPr>
      </w:pPr>
      <w:r>
        <w:rPr>
          <w:rFonts w:cs="Tahoma" w:ascii="Trebuchet MS" w:hAnsi="Trebuchet MS"/>
          <w:b w:val="false"/>
          <w:color w:val="00000A"/>
        </w:rPr>
        <w:t>mgr Urszula Owczarska</w:t>
      </w:r>
    </w:p>
    <w:p>
      <w:pPr>
        <w:pStyle w:val="BodyText3"/>
        <w:ind w:left="567" w:hanging="0"/>
        <w:jc w:val="left"/>
        <w:rPr>
          <w:rFonts w:ascii="Trebuchet MS" w:hAnsi="Trebuchet MS" w:cs="Tahoma"/>
          <w:b w:val="false"/>
          <w:b w:val="false"/>
          <w:color w:val="00000A"/>
        </w:rPr>
      </w:pPr>
      <w:r>
        <w:rPr>
          <w:rFonts w:cs="Tahoma" w:ascii="Trebuchet MS" w:hAnsi="Trebuchet MS"/>
          <w:b w:val="false"/>
          <w:color w:val="00000A"/>
        </w:rPr>
        <w:t>mgr inż. Artur Wojtyra</w:t>
      </w:r>
    </w:p>
    <w:p>
      <w:pPr>
        <w:pStyle w:val="BodyText3"/>
        <w:ind w:hanging="0"/>
        <w:jc w:val="left"/>
        <w:rPr>
          <w:rFonts w:ascii="Trebuchet MS" w:hAnsi="Trebuchet MS" w:cs="Tahoma"/>
          <w:color w:val="00000A"/>
        </w:rPr>
      </w:pPr>
      <w:r>
        <w:rPr>
          <w:rFonts w:cs="Tahoma" w:ascii="Trebuchet MS" w:hAnsi="Trebuchet MS"/>
          <w:color w:val="00000A"/>
        </w:rPr>
      </w:r>
    </w:p>
    <w:p>
      <w:pPr>
        <w:pStyle w:val="BodyText3"/>
        <w:ind w:hanging="0"/>
        <w:jc w:val="left"/>
        <w:rPr>
          <w:rFonts w:ascii="Trebuchet MS" w:hAnsi="Trebuchet MS" w:cs="Tahoma"/>
          <w:color w:val="00000A"/>
        </w:rPr>
      </w:pPr>
      <w:r>
        <w:rPr>
          <w:rFonts w:cs="Tahoma" w:ascii="Trebuchet MS" w:hAnsi="Trebuchet MS"/>
          <w:color w:val="00000A"/>
        </w:rPr>
      </w:r>
    </w:p>
    <w:p>
      <w:pPr>
        <w:pStyle w:val="BodyText3"/>
        <w:ind w:hanging="0"/>
        <w:jc w:val="left"/>
        <w:rPr>
          <w:rFonts w:ascii="Trebuchet MS" w:hAnsi="Trebuchet MS" w:cs="Tahoma"/>
          <w:color w:val="00000A"/>
        </w:rPr>
      </w:pPr>
      <w:r>
        <w:rPr>
          <w:rFonts w:cs="Tahoma" w:ascii="Trebuchet MS" w:hAnsi="Trebuchet MS"/>
          <w:color w:val="00000A"/>
        </w:rPr>
      </w:r>
    </w:p>
    <w:p>
      <w:pPr>
        <w:pStyle w:val="BodyText3"/>
        <w:ind w:hanging="0"/>
        <w:jc w:val="left"/>
        <w:rPr>
          <w:rFonts w:ascii="Trebuchet MS" w:hAnsi="Trebuchet MS" w:cs="Tahoma"/>
          <w:color w:val="00000A"/>
        </w:rPr>
      </w:pPr>
      <w:r>
        <w:rPr>
          <w:rFonts w:cs="Tahoma" w:ascii="Trebuchet MS" w:hAnsi="Trebuchet MS"/>
          <w:color w:val="00000A"/>
        </w:rPr>
      </w:r>
    </w:p>
    <w:p>
      <w:pPr>
        <w:pStyle w:val="BodyText3"/>
        <w:ind w:hanging="0"/>
        <w:jc w:val="left"/>
        <w:rPr>
          <w:rFonts w:ascii="Trebuchet MS" w:hAnsi="Trebuchet MS" w:cs="Tahoma"/>
          <w:color w:val="00000A"/>
        </w:rPr>
      </w:pPr>
      <w:r>
        <w:rPr>
          <w:rFonts w:cs="Tahoma" w:ascii="Trebuchet MS" w:hAnsi="Trebuchet MS"/>
          <w:color w:val="00000A"/>
        </w:rPr>
      </w:r>
    </w:p>
    <w:p>
      <w:pPr>
        <w:pStyle w:val="BodyText3"/>
        <w:ind w:hanging="0"/>
        <w:jc w:val="left"/>
        <w:rPr>
          <w:rFonts w:ascii="Trebuchet MS" w:hAnsi="Trebuchet MS" w:cs="Tahoma"/>
          <w:color w:val="00000A"/>
        </w:rPr>
      </w:pPr>
      <w:r>
        <w:rPr>
          <w:rFonts w:cs="Tahoma" w:ascii="Trebuchet MS" w:hAnsi="Trebuchet MS"/>
          <w:color w:val="00000A"/>
        </w:rPr>
      </w:r>
    </w:p>
    <w:p>
      <w:pPr>
        <w:pStyle w:val="Normal"/>
        <w:ind w:hanging="0"/>
        <w:rPr>
          <w:rFonts w:ascii="Trebuchet MS" w:hAnsi="Trebuchet MS" w:cs="Tahoma"/>
          <w:color w:val="00000A"/>
        </w:rPr>
      </w:pPr>
      <w:r>
        <w:rPr>
          <w:rFonts w:cs="Tahoma" w:ascii="Trebuchet MS" w:hAnsi="Trebuchet MS"/>
          <w:color w:val="00000A"/>
        </w:rPr>
      </w:r>
    </w:p>
    <w:p>
      <w:pPr>
        <w:pStyle w:val="Normal"/>
        <w:pBdr>
          <w:bottom w:val="single" w:sz="4" w:space="1" w:color="00000A"/>
        </w:pBdr>
        <w:ind w:hanging="0"/>
        <w:rPr>
          <w:rFonts w:ascii="Trebuchet MS" w:hAnsi="Trebuchet MS" w:cs="Tahoma"/>
          <w:color w:val="00000A"/>
        </w:rPr>
      </w:pPr>
      <w:r>
        <w:rPr>
          <w:rFonts w:cs="Tahoma" w:ascii="Trebuchet MS" w:hAnsi="Trebuchet MS"/>
          <w:color w:val="00000A"/>
        </w:rPr>
      </w:r>
    </w:p>
    <w:p>
      <w:pPr>
        <w:pStyle w:val="Normal"/>
        <w:ind w:hanging="0"/>
        <w:rPr>
          <w:rFonts w:ascii="Trebuchet MS" w:hAnsi="Trebuchet MS" w:cs="Tahoma"/>
          <w:color w:val="00000A"/>
        </w:rPr>
      </w:pPr>
      <w:r>
        <w:rPr>
          <w:rFonts w:cs="Tahoma" w:ascii="Trebuchet MS" w:hAnsi="Trebuchet MS"/>
          <w:color w:val="00000A"/>
        </w:rPr>
      </w:r>
    </w:p>
    <w:p>
      <w:pPr>
        <w:sectPr>
          <w:footerReference w:type="default" r:id="rId3"/>
          <w:type w:val="nextPage"/>
          <w:pgSz w:w="11906" w:h="16838"/>
          <w:pgMar w:left="1418" w:right="1134" w:header="0" w:top="1418" w:footer="709" w:bottom="1304" w:gutter="0"/>
          <w:pgNumType w:fmt="decimal"/>
          <w:formProt w:val="false"/>
          <w:textDirection w:val="lrTb"/>
          <w:docGrid w:type="default" w:linePitch="360" w:charSpace="4294961151"/>
        </w:sectPr>
        <w:pStyle w:val="Normal"/>
        <w:ind w:hanging="0"/>
        <w:jc w:val="center"/>
        <w:rPr>
          <w:rFonts w:ascii="Trebuchet MS" w:hAnsi="Trebuchet MS" w:cs="Tahoma"/>
          <w:color w:val="00000A"/>
        </w:rPr>
      </w:pPr>
      <w:r>
        <w:rPr>
          <w:rFonts w:cs="Tahoma" w:ascii="Trebuchet MS" w:hAnsi="Trebuchet MS"/>
          <w:color w:val="00000A"/>
        </w:rPr>
        <w:t>Otwock, czerwiec 2018 r.</w:t>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spacing w:lineRule="auto" w:line="360"/>
        <w:ind w:right="-2" w:firstLine="397"/>
        <w:rPr/>
      </w:pPr>
      <w:r>
        <w:rPr>
          <w:rFonts w:cs="Arial" w:ascii="Arial" w:hAnsi="Arial"/>
          <w:b/>
          <w:color w:val="00000A"/>
          <w:sz w:val="22"/>
          <w:szCs w:val="20"/>
        </w:rPr>
        <w:t>Spis treści</w:t>
      </w:r>
    </w:p>
    <w:p>
      <w:pPr>
        <w:pStyle w:val="Spistreci1"/>
        <w:rPr>
          <w:rFonts w:eastAsia="" w:eastAsiaTheme="minorEastAsia"/>
        </w:rPr>
      </w:pPr>
      <w:r>
        <w:fldChar w:fldCharType="begin"/>
      </w:r>
      <w:r>
        <w:instrText> TOC \z \o "1-3" \u \h</w:instrText>
      </w:r>
      <w:r>
        <w:fldChar w:fldCharType="separate"/>
      </w:r>
      <w:hyperlink w:anchor="_Toc518331263">
        <w:r>
          <w:rPr>
            <w:webHidden/>
            <w:rStyle w:val="Czeindeksu"/>
          </w:rPr>
          <w:t>1</w:t>
        </w:r>
        <w:r>
          <w:rPr>
            <w:rStyle w:val="Czeindeksu"/>
            <w:rFonts w:eastAsia="" w:eastAsiaTheme="minorEastAsia"/>
          </w:rPr>
          <w:tab/>
        </w:r>
        <w:r>
          <w:rPr>
            <w:rStyle w:val="Czeindeksu"/>
          </w:rPr>
          <w:t>WPROWADZENIE</w:t>
        </w:r>
        <w:r>
          <w:rPr>
            <w:webHidden/>
          </w:rPr>
          <w:fldChar w:fldCharType="begin"/>
        </w:r>
        <w:r>
          <w:rPr>
            <w:webHidden/>
          </w:rPr>
          <w:instrText>PAGEREF _Toc518331263 \h</w:instrText>
        </w:r>
        <w:r>
          <w:rPr>
            <w:webHidden/>
          </w:rPr>
          <w:fldChar w:fldCharType="separate"/>
        </w:r>
        <w:r>
          <w:rPr>
            <w:rStyle w:val="Czeindeksu"/>
            <w:vanish w:val="false"/>
          </w:rPr>
          <w:tab/>
          <w:t>7</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264">
        <w:r>
          <w:rPr>
            <w:webHidden/>
            <w:rStyle w:val="Czeindeksu"/>
            <w:rFonts w:cs="Arial" w:ascii="Arial" w:hAnsi="Arial"/>
            <w:sz w:val="20"/>
          </w:rPr>
          <w:t>1.1</w:t>
        </w:r>
        <w:r>
          <w:rPr>
            <w:rStyle w:val="Czeindeksu"/>
            <w:rFonts w:eastAsia="" w:cs="Arial" w:ascii="Arial" w:hAnsi="Arial" w:eastAsiaTheme="minorEastAsia"/>
            <w:color w:val="00000A"/>
            <w:sz w:val="20"/>
          </w:rPr>
          <w:tab/>
        </w:r>
        <w:r>
          <w:rPr>
            <w:rStyle w:val="Czeindeksu"/>
            <w:rFonts w:cs="Arial" w:ascii="Arial" w:hAnsi="Arial"/>
            <w:sz w:val="20"/>
          </w:rPr>
          <w:t>Przedsięwzięcie inwestycyjne</w:t>
        </w:r>
        <w:r>
          <w:rPr>
            <w:webHidden/>
          </w:rPr>
          <w:fldChar w:fldCharType="begin"/>
        </w:r>
        <w:r>
          <w:rPr>
            <w:webHidden/>
          </w:rPr>
          <w:instrText>PAGEREF _Toc518331264 \h</w:instrText>
        </w:r>
        <w:r>
          <w:rPr>
            <w:webHidden/>
          </w:rPr>
          <w:fldChar w:fldCharType="separate"/>
        </w:r>
        <w:r>
          <w:rPr>
            <w:rStyle w:val="Czeindeksu"/>
            <w:rFonts w:cs="Arial" w:ascii="Arial" w:hAnsi="Arial"/>
            <w:vanish w:val="false"/>
            <w:sz w:val="20"/>
          </w:rPr>
          <w:tab/>
          <w:t>7</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265">
        <w:r>
          <w:rPr>
            <w:webHidden/>
            <w:rStyle w:val="Czeindeksu"/>
            <w:rFonts w:cs="Arial" w:ascii="Arial" w:hAnsi="Arial"/>
            <w:sz w:val="20"/>
          </w:rPr>
          <w:t>1.2</w:t>
        </w:r>
        <w:r>
          <w:rPr>
            <w:rStyle w:val="Czeindeksu"/>
            <w:rFonts w:eastAsia="" w:cs="Arial" w:ascii="Arial" w:hAnsi="Arial" w:eastAsiaTheme="minorEastAsia"/>
            <w:color w:val="00000A"/>
            <w:sz w:val="20"/>
          </w:rPr>
          <w:tab/>
        </w:r>
        <w:r>
          <w:rPr>
            <w:rStyle w:val="Czeindeksu"/>
            <w:rFonts w:cs="Arial" w:ascii="Arial" w:hAnsi="Arial"/>
            <w:sz w:val="20"/>
          </w:rPr>
          <w:t>Klasyfikacja przedsięwzięcia</w:t>
        </w:r>
        <w:r>
          <w:rPr>
            <w:webHidden/>
          </w:rPr>
          <w:fldChar w:fldCharType="begin"/>
        </w:r>
        <w:r>
          <w:rPr>
            <w:webHidden/>
          </w:rPr>
          <w:instrText>PAGEREF _Toc518331265 \h</w:instrText>
        </w:r>
        <w:r>
          <w:rPr>
            <w:webHidden/>
          </w:rPr>
          <w:fldChar w:fldCharType="separate"/>
        </w:r>
        <w:r>
          <w:rPr>
            <w:rStyle w:val="Czeindeksu"/>
            <w:rFonts w:cs="Arial" w:ascii="Arial" w:hAnsi="Arial"/>
            <w:vanish w:val="false"/>
            <w:sz w:val="20"/>
          </w:rPr>
          <w:tab/>
          <w:t>7</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266">
        <w:r>
          <w:rPr>
            <w:webHidden/>
            <w:rStyle w:val="Czeindeksu"/>
            <w:rFonts w:cs="Arial" w:ascii="Arial" w:hAnsi="Arial"/>
            <w:sz w:val="20"/>
          </w:rPr>
          <w:t>1.3</w:t>
        </w:r>
        <w:r>
          <w:rPr>
            <w:rStyle w:val="Czeindeksu"/>
            <w:rFonts w:eastAsia="" w:cs="Arial" w:ascii="Arial" w:hAnsi="Arial" w:eastAsiaTheme="minorEastAsia"/>
            <w:color w:val="00000A"/>
            <w:sz w:val="20"/>
          </w:rPr>
          <w:tab/>
        </w:r>
        <w:r>
          <w:rPr>
            <w:rStyle w:val="Czeindeksu"/>
            <w:rFonts w:cs="Arial" w:ascii="Arial" w:hAnsi="Arial"/>
            <w:sz w:val="20"/>
          </w:rPr>
          <w:t>Cel i zakres raportu</w:t>
        </w:r>
        <w:r>
          <w:rPr>
            <w:webHidden/>
          </w:rPr>
          <w:fldChar w:fldCharType="begin"/>
        </w:r>
        <w:r>
          <w:rPr>
            <w:webHidden/>
          </w:rPr>
          <w:instrText>PAGEREF _Toc518331266 \h</w:instrText>
        </w:r>
        <w:r>
          <w:rPr>
            <w:webHidden/>
          </w:rPr>
          <w:fldChar w:fldCharType="separate"/>
        </w:r>
        <w:r>
          <w:rPr>
            <w:rStyle w:val="Czeindeksu"/>
            <w:rFonts w:cs="Arial" w:ascii="Arial" w:hAnsi="Arial"/>
            <w:vanish w:val="false"/>
            <w:sz w:val="20"/>
          </w:rPr>
          <w:tab/>
          <w:t>7</w:t>
        </w:r>
        <w:r>
          <w:rPr>
            <w:webHidden/>
          </w:rPr>
          <w:fldChar w:fldCharType="end"/>
        </w:r>
      </w:hyperlink>
    </w:p>
    <w:p>
      <w:pPr>
        <w:pStyle w:val="Spistreci1"/>
        <w:rPr>
          <w:rFonts w:eastAsia="" w:eastAsiaTheme="minorEastAsia"/>
        </w:rPr>
      </w:pPr>
      <w:hyperlink w:anchor="_Toc518331267">
        <w:r>
          <w:rPr>
            <w:webHidden/>
            <w:rStyle w:val="Czeindeksu"/>
          </w:rPr>
          <w:t>2</w:t>
        </w:r>
        <w:r>
          <w:rPr>
            <w:rStyle w:val="Czeindeksu"/>
            <w:rFonts w:eastAsia="" w:eastAsiaTheme="minorEastAsia"/>
          </w:rPr>
          <w:tab/>
        </w:r>
        <w:r>
          <w:rPr>
            <w:rStyle w:val="Czeindeksu"/>
          </w:rPr>
          <w:t>OPIS PLANOWANEGO PRZEDSIĘWZIĘCIA</w:t>
        </w:r>
        <w:r>
          <w:rPr>
            <w:webHidden/>
          </w:rPr>
          <w:fldChar w:fldCharType="begin"/>
        </w:r>
        <w:r>
          <w:rPr>
            <w:webHidden/>
          </w:rPr>
          <w:instrText>PAGEREF _Toc518331267 \h</w:instrText>
        </w:r>
        <w:r>
          <w:rPr>
            <w:webHidden/>
          </w:rPr>
          <w:fldChar w:fldCharType="separate"/>
        </w:r>
        <w:r>
          <w:rPr>
            <w:rStyle w:val="Czeindeksu"/>
            <w:vanish w:val="false"/>
          </w:rPr>
          <w:tab/>
          <w:t>10</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268">
        <w:r>
          <w:rPr>
            <w:webHidden/>
            <w:rStyle w:val="Czeindeksu"/>
            <w:rFonts w:cs="Arial" w:ascii="Arial" w:hAnsi="Arial"/>
            <w:sz w:val="20"/>
          </w:rPr>
          <w:t>2.1</w:t>
        </w:r>
        <w:r>
          <w:rPr>
            <w:rStyle w:val="Czeindeksu"/>
            <w:rFonts w:eastAsia="" w:cs="Arial" w:ascii="Arial" w:hAnsi="Arial" w:eastAsiaTheme="minorEastAsia"/>
            <w:color w:val="00000A"/>
            <w:sz w:val="20"/>
          </w:rPr>
          <w:tab/>
        </w:r>
        <w:r>
          <w:rPr>
            <w:rStyle w:val="Czeindeksu"/>
            <w:rFonts w:cs="Arial" w:ascii="Arial" w:hAnsi="Arial"/>
            <w:sz w:val="20"/>
          </w:rPr>
          <w:t>Ocena przedsięwzięcia pod względem zgodności z wymaganiami przepisów krajowych i UE</w:t>
        </w:r>
        <w:r>
          <w:rPr>
            <w:webHidden/>
          </w:rPr>
          <w:fldChar w:fldCharType="begin"/>
        </w:r>
        <w:r>
          <w:rPr>
            <w:webHidden/>
          </w:rPr>
          <w:instrText>PAGEREF _Toc518331268 \h</w:instrText>
        </w:r>
        <w:r>
          <w:rPr>
            <w:webHidden/>
          </w:rPr>
          <w:fldChar w:fldCharType="separate"/>
        </w:r>
        <w:r>
          <w:rPr>
            <w:rStyle w:val="Czeindeksu"/>
            <w:rFonts w:cs="Arial" w:ascii="Arial" w:hAnsi="Arial"/>
            <w:vanish w:val="false"/>
            <w:sz w:val="20"/>
          </w:rPr>
          <w:tab/>
          <w:t>10</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69">
        <w:r>
          <w:rPr>
            <w:webHidden/>
            <w:rStyle w:val="Czeindeksu"/>
            <w:rFonts w:cs="Arial" w:ascii="Arial" w:hAnsi="Arial"/>
            <w:sz w:val="20"/>
          </w:rPr>
          <w:t>2.1.1</w:t>
        </w:r>
        <w:r>
          <w:rPr>
            <w:rStyle w:val="Czeindeksu"/>
            <w:rFonts w:eastAsia="" w:cs="Arial" w:ascii="Arial" w:hAnsi="Arial" w:eastAsiaTheme="minorEastAsia"/>
            <w:color w:val="00000A"/>
            <w:sz w:val="20"/>
          </w:rPr>
          <w:tab/>
        </w:r>
        <w:r>
          <w:rPr>
            <w:rStyle w:val="Czeindeksu"/>
            <w:rFonts w:cs="Arial" w:ascii="Arial" w:hAnsi="Arial"/>
            <w:sz w:val="20"/>
          </w:rPr>
          <w:t>Zgodność przedsięwzięcia z wymaganiami polskimi i UE</w:t>
        </w:r>
        <w:r>
          <w:rPr>
            <w:webHidden/>
          </w:rPr>
          <w:fldChar w:fldCharType="begin"/>
        </w:r>
        <w:r>
          <w:rPr>
            <w:webHidden/>
          </w:rPr>
          <w:instrText>PAGEREF _Toc518331269 \h</w:instrText>
        </w:r>
        <w:r>
          <w:rPr>
            <w:webHidden/>
          </w:rPr>
          <w:fldChar w:fldCharType="separate"/>
        </w:r>
        <w:r>
          <w:rPr>
            <w:rStyle w:val="Czeindeksu"/>
            <w:rFonts w:cs="Arial" w:ascii="Arial" w:hAnsi="Arial"/>
            <w:vanish w:val="false"/>
            <w:sz w:val="20"/>
          </w:rPr>
          <w:tab/>
          <w:t>10</w:t>
        </w:r>
        <w:r>
          <w:rPr>
            <w:webHidden/>
          </w:rPr>
          <w:fldChar w:fldCharType="end"/>
        </w:r>
      </w:hyperlink>
    </w:p>
    <w:p>
      <w:pPr>
        <w:pStyle w:val="Spistreci3"/>
        <w:tabs>
          <w:tab w:val="left" w:pos="1540" w:leader="none"/>
          <w:tab w:val="right" w:pos="9356" w:leader="dot"/>
        </w:tabs>
        <w:ind w:left="1540" w:hanging="703"/>
        <w:rPr>
          <w:rFonts w:ascii="Arial" w:hAnsi="Arial" w:eastAsia="" w:cs="Arial" w:eastAsiaTheme="minorEastAsia"/>
          <w:color w:val="00000A"/>
          <w:sz w:val="20"/>
        </w:rPr>
      </w:pPr>
      <w:hyperlink w:anchor="_Toc518331270">
        <w:r>
          <w:rPr>
            <w:webHidden/>
            <w:rStyle w:val="Czeindeksu"/>
            <w:rFonts w:cs="Arial" w:ascii="Arial" w:hAnsi="Arial"/>
            <w:sz w:val="20"/>
          </w:rPr>
          <w:t>2.1.2</w:t>
        </w:r>
        <w:r>
          <w:rPr>
            <w:rStyle w:val="Czeindeksu"/>
            <w:rFonts w:eastAsia="" w:cs="Arial" w:ascii="Arial" w:hAnsi="Arial" w:eastAsiaTheme="minorEastAsia"/>
            <w:color w:val="00000A"/>
            <w:sz w:val="20"/>
          </w:rPr>
          <w:tab/>
        </w:r>
        <w:r>
          <w:rPr>
            <w:rStyle w:val="Czeindeksu"/>
            <w:rFonts w:cs="Arial" w:ascii="Arial" w:hAnsi="Arial"/>
            <w:sz w:val="20"/>
          </w:rPr>
          <w:t>Zgodność przedsięwzięcia z dokumentami strategicznymi oraz uwarunkowaniami wynikającymi z miejscowego planu zagospodarowania przestrzennego</w:t>
        </w:r>
        <w:r>
          <w:rPr>
            <w:webHidden/>
          </w:rPr>
          <w:fldChar w:fldCharType="begin"/>
        </w:r>
        <w:r>
          <w:rPr>
            <w:webHidden/>
          </w:rPr>
          <w:instrText>PAGEREF _Toc518331270 \h</w:instrText>
        </w:r>
        <w:r>
          <w:rPr>
            <w:webHidden/>
          </w:rPr>
          <w:fldChar w:fldCharType="separate"/>
        </w:r>
        <w:r>
          <w:rPr>
            <w:rStyle w:val="Czeindeksu"/>
            <w:rFonts w:cs="Arial" w:ascii="Arial" w:hAnsi="Arial"/>
            <w:vanish w:val="false"/>
            <w:sz w:val="20"/>
          </w:rPr>
          <w:tab/>
          <w:t>11</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71">
        <w:r>
          <w:rPr>
            <w:webHidden/>
            <w:rStyle w:val="Czeindeksu"/>
            <w:rFonts w:cs="Arial" w:ascii="Arial" w:hAnsi="Arial"/>
            <w:sz w:val="20"/>
          </w:rPr>
          <w:t>2.1.3</w:t>
        </w:r>
        <w:r>
          <w:rPr>
            <w:rStyle w:val="Czeindeksu"/>
            <w:rFonts w:eastAsia="" w:cs="Arial" w:ascii="Arial" w:hAnsi="Arial" w:eastAsiaTheme="minorEastAsia"/>
            <w:color w:val="00000A"/>
            <w:sz w:val="20"/>
          </w:rPr>
          <w:tab/>
        </w:r>
        <w:r>
          <w:rPr>
            <w:rStyle w:val="Czeindeksu"/>
            <w:rFonts w:cs="Arial" w:ascii="Arial" w:hAnsi="Arial"/>
            <w:sz w:val="20"/>
          </w:rPr>
          <w:t>Zgodność przedsięwzięcia z Planami Gospodarki Odpadami</w:t>
        </w:r>
        <w:r>
          <w:rPr>
            <w:webHidden/>
          </w:rPr>
          <w:fldChar w:fldCharType="begin"/>
        </w:r>
        <w:r>
          <w:rPr>
            <w:webHidden/>
          </w:rPr>
          <w:instrText>PAGEREF _Toc518331271 \h</w:instrText>
        </w:r>
        <w:r>
          <w:rPr>
            <w:webHidden/>
          </w:rPr>
          <w:fldChar w:fldCharType="separate"/>
        </w:r>
        <w:r>
          <w:rPr>
            <w:rStyle w:val="Czeindeksu"/>
            <w:rFonts w:cs="Arial" w:ascii="Arial" w:hAnsi="Arial"/>
            <w:vanish w:val="false"/>
            <w:sz w:val="20"/>
          </w:rPr>
          <w:tab/>
          <w:t>13</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272">
        <w:r>
          <w:rPr>
            <w:webHidden/>
            <w:rStyle w:val="Czeindeksu"/>
            <w:rFonts w:cs="Arial" w:ascii="Arial" w:hAnsi="Arial"/>
            <w:sz w:val="20"/>
          </w:rPr>
          <w:t>2.2</w:t>
        </w:r>
        <w:r>
          <w:rPr>
            <w:rStyle w:val="Czeindeksu"/>
            <w:rFonts w:eastAsia="" w:cs="Arial" w:ascii="Arial" w:hAnsi="Arial" w:eastAsiaTheme="minorEastAsia"/>
            <w:color w:val="00000A"/>
            <w:sz w:val="20"/>
          </w:rPr>
          <w:tab/>
        </w:r>
        <w:r>
          <w:rPr>
            <w:rStyle w:val="Czeindeksu"/>
            <w:rFonts w:cs="Arial" w:ascii="Arial" w:hAnsi="Arial"/>
            <w:sz w:val="20"/>
          </w:rPr>
          <w:t>Charakterystyka przedsięwzięcia i warunki użytkowania terenu w fazie budowy i eksploatacji, w tym w odniesieniu do obszarów szczególnego zagrożenia powodzią</w:t>
        </w:r>
        <w:r>
          <w:rPr>
            <w:webHidden/>
          </w:rPr>
          <w:fldChar w:fldCharType="begin"/>
        </w:r>
        <w:r>
          <w:rPr>
            <w:webHidden/>
          </w:rPr>
          <w:instrText>PAGEREF _Toc518331272 \h</w:instrText>
        </w:r>
        <w:r>
          <w:rPr>
            <w:webHidden/>
          </w:rPr>
          <w:fldChar w:fldCharType="separate"/>
        </w:r>
        <w:r>
          <w:rPr>
            <w:rStyle w:val="Czeindeksu"/>
            <w:rFonts w:cs="Arial" w:ascii="Arial" w:hAnsi="Arial"/>
            <w:vanish w:val="false"/>
            <w:sz w:val="20"/>
          </w:rPr>
          <w:tab/>
          <w:t>18</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73">
        <w:r>
          <w:rPr>
            <w:webHidden/>
            <w:rStyle w:val="Czeindeksu"/>
            <w:rFonts w:cs="Arial" w:ascii="Arial" w:hAnsi="Arial"/>
            <w:sz w:val="20"/>
          </w:rPr>
          <w:t>2.2.1</w:t>
        </w:r>
        <w:r>
          <w:rPr>
            <w:rStyle w:val="Czeindeksu"/>
            <w:rFonts w:eastAsia="" w:cs="Arial" w:ascii="Arial" w:hAnsi="Arial" w:eastAsiaTheme="minorEastAsia"/>
            <w:color w:val="00000A"/>
            <w:sz w:val="20"/>
          </w:rPr>
          <w:tab/>
        </w:r>
        <w:r>
          <w:rPr>
            <w:rStyle w:val="Czeindeksu"/>
            <w:rFonts w:cs="Arial" w:ascii="Arial" w:hAnsi="Arial"/>
            <w:sz w:val="20"/>
          </w:rPr>
          <w:t>Ogólna charakterystyka przedsięwzięcia</w:t>
        </w:r>
        <w:r>
          <w:rPr>
            <w:webHidden/>
          </w:rPr>
          <w:fldChar w:fldCharType="begin"/>
        </w:r>
        <w:r>
          <w:rPr>
            <w:webHidden/>
          </w:rPr>
          <w:instrText>PAGEREF _Toc518331273 \h</w:instrText>
        </w:r>
        <w:r>
          <w:rPr>
            <w:webHidden/>
          </w:rPr>
          <w:fldChar w:fldCharType="separate"/>
        </w:r>
        <w:r>
          <w:rPr>
            <w:rStyle w:val="Czeindeksu"/>
            <w:rFonts w:cs="Arial" w:ascii="Arial" w:hAnsi="Arial"/>
            <w:vanish w:val="false"/>
            <w:sz w:val="20"/>
          </w:rPr>
          <w:tab/>
          <w:t>18</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74">
        <w:r>
          <w:rPr>
            <w:webHidden/>
            <w:rStyle w:val="Czeindeksu"/>
            <w:rFonts w:cs="Arial" w:ascii="Arial" w:hAnsi="Arial"/>
            <w:sz w:val="20"/>
          </w:rPr>
          <w:t>2.2.2</w:t>
        </w:r>
        <w:r>
          <w:rPr>
            <w:rStyle w:val="Czeindeksu"/>
            <w:rFonts w:eastAsia="" w:cs="Arial" w:ascii="Arial" w:hAnsi="Arial" w:eastAsiaTheme="minorEastAsia"/>
            <w:color w:val="00000A"/>
            <w:sz w:val="20"/>
          </w:rPr>
          <w:tab/>
        </w:r>
        <w:r>
          <w:rPr>
            <w:rStyle w:val="Czeindeksu"/>
            <w:rFonts w:cs="Arial" w:ascii="Arial" w:hAnsi="Arial"/>
            <w:sz w:val="20"/>
          </w:rPr>
          <w:t>Lokalizacja przedsięwzięcia oraz istniejąca infrastruktura techniczna</w:t>
        </w:r>
        <w:r>
          <w:rPr>
            <w:webHidden/>
          </w:rPr>
          <w:fldChar w:fldCharType="begin"/>
        </w:r>
        <w:r>
          <w:rPr>
            <w:webHidden/>
          </w:rPr>
          <w:instrText>PAGEREF _Toc518331274 \h</w:instrText>
        </w:r>
        <w:r>
          <w:rPr>
            <w:webHidden/>
          </w:rPr>
          <w:fldChar w:fldCharType="separate"/>
        </w:r>
        <w:r>
          <w:rPr>
            <w:rStyle w:val="Czeindeksu"/>
            <w:rFonts w:cs="Arial" w:ascii="Arial" w:hAnsi="Arial"/>
            <w:vanish w:val="false"/>
            <w:sz w:val="20"/>
          </w:rPr>
          <w:tab/>
          <w:t>18</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75">
        <w:r>
          <w:rPr>
            <w:webHidden/>
            <w:rStyle w:val="Czeindeksu"/>
            <w:rFonts w:cs="Arial" w:ascii="Arial" w:hAnsi="Arial"/>
            <w:sz w:val="20"/>
          </w:rPr>
          <w:t>2.2.3</w:t>
        </w:r>
        <w:r>
          <w:rPr>
            <w:rStyle w:val="Czeindeksu"/>
            <w:rFonts w:eastAsia="" w:cs="Arial" w:ascii="Arial" w:hAnsi="Arial" w:eastAsiaTheme="minorEastAsia"/>
            <w:color w:val="00000A"/>
            <w:sz w:val="20"/>
          </w:rPr>
          <w:tab/>
        </w:r>
        <w:r>
          <w:rPr>
            <w:rStyle w:val="Czeindeksu"/>
            <w:rFonts w:cs="Arial" w:ascii="Arial" w:hAnsi="Arial"/>
            <w:sz w:val="20"/>
          </w:rPr>
          <w:t>Warunki użytkowania terenu w fazie realizacji przedsięwzięcia</w:t>
        </w:r>
        <w:r>
          <w:rPr>
            <w:webHidden/>
          </w:rPr>
          <w:fldChar w:fldCharType="begin"/>
        </w:r>
        <w:r>
          <w:rPr>
            <w:webHidden/>
          </w:rPr>
          <w:instrText>PAGEREF _Toc518331275 \h</w:instrText>
        </w:r>
        <w:r>
          <w:rPr>
            <w:webHidden/>
          </w:rPr>
          <w:fldChar w:fldCharType="separate"/>
        </w:r>
        <w:r>
          <w:rPr>
            <w:rStyle w:val="Czeindeksu"/>
            <w:rFonts w:cs="Arial" w:ascii="Arial" w:hAnsi="Arial"/>
            <w:vanish w:val="false"/>
            <w:sz w:val="20"/>
          </w:rPr>
          <w:tab/>
          <w:t>20</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76">
        <w:r>
          <w:rPr>
            <w:webHidden/>
            <w:rStyle w:val="Czeindeksu"/>
            <w:rFonts w:cs="Arial" w:ascii="Arial" w:hAnsi="Arial"/>
            <w:sz w:val="20"/>
          </w:rPr>
          <w:t>2.2.4</w:t>
        </w:r>
        <w:r>
          <w:rPr>
            <w:rStyle w:val="Czeindeksu"/>
            <w:rFonts w:eastAsia="" w:cs="Arial" w:ascii="Arial" w:hAnsi="Arial" w:eastAsiaTheme="minorEastAsia"/>
            <w:color w:val="00000A"/>
            <w:sz w:val="20"/>
          </w:rPr>
          <w:tab/>
        </w:r>
        <w:r>
          <w:rPr>
            <w:rStyle w:val="Czeindeksu"/>
            <w:rFonts w:cs="Arial" w:ascii="Arial" w:hAnsi="Arial"/>
            <w:sz w:val="20"/>
          </w:rPr>
          <w:t>Warunki użytkowania terenu w fazie eksploatacji przedsięwzięcia</w:t>
        </w:r>
        <w:r>
          <w:rPr>
            <w:webHidden/>
          </w:rPr>
          <w:fldChar w:fldCharType="begin"/>
        </w:r>
        <w:r>
          <w:rPr>
            <w:webHidden/>
          </w:rPr>
          <w:instrText>PAGEREF _Toc518331276 \h</w:instrText>
        </w:r>
        <w:r>
          <w:rPr>
            <w:webHidden/>
          </w:rPr>
          <w:fldChar w:fldCharType="separate"/>
        </w:r>
        <w:r>
          <w:rPr>
            <w:rStyle w:val="Czeindeksu"/>
            <w:rFonts w:cs="Arial" w:ascii="Arial" w:hAnsi="Arial"/>
            <w:vanish w:val="false"/>
            <w:sz w:val="20"/>
          </w:rPr>
          <w:tab/>
          <w:t>21</w:t>
        </w:r>
        <w:r>
          <w:rPr>
            <w:webHidden/>
          </w:rPr>
          <w:fldChar w:fldCharType="end"/>
        </w:r>
      </w:hyperlink>
    </w:p>
    <w:p>
      <w:pPr>
        <w:pStyle w:val="Spistreci3"/>
        <w:tabs>
          <w:tab w:val="left" w:pos="1540" w:leader="none"/>
          <w:tab w:val="right" w:pos="9356" w:leader="dot"/>
        </w:tabs>
        <w:ind w:left="1540" w:hanging="703"/>
        <w:rPr>
          <w:rFonts w:ascii="Arial" w:hAnsi="Arial" w:eastAsia="" w:cs="Arial" w:eastAsiaTheme="minorEastAsia"/>
          <w:color w:val="00000A"/>
          <w:sz w:val="20"/>
        </w:rPr>
      </w:pPr>
      <w:hyperlink w:anchor="_Toc518331277">
        <w:r>
          <w:rPr>
            <w:webHidden/>
            <w:rStyle w:val="Czeindeksu"/>
            <w:rFonts w:cs="Arial" w:ascii="Arial" w:hAnsi="Arial"/>
            <w:sz w:val="20"/>
          </w:rPr>
          <w:t>2.2.5</w:t>
        </w:r>
        <w:r>
          <w:rPr>
            <w:rStyle w:val="Czeindeksu"/>
            <w:rFonts w:eastAsia="" w:cs="Arial" w:ascii="Arial" w:hAnsi="Arial" w:eastAsiaTheme="minorEastAsia"/>
            <w:color w:val="00000A"/>
            <w:sz w:val="20"/>
          </w:rPr>
          <w:tab/>
        </w:r>
        <w:r>
          <w:rPr>
            <w:rStyle w:val="Czeindeksu"/>
            <w:rFonts w:cs="Arial" w:ascii="Arial" w:hAnsi="Arial"/>
            <w:sz w:val="20"/>
          </w:rPr>
          <w:t>Warunki użytkowania terenu w odniesieniu do obszarów szczególnego zagrożenia powodzią</w:t>
        </w:r>
        <w:r>
          <w:rPr>
            <w:webHidden/>
          </w:rPr>
          <w:fldChar w:fldCharType="begin"/>
        </w:r>
        <w:r>
          <w:rPr>
            <w:webHidden/>
          </w:rPr>
          <w:instrText>PAGEREF _Toc518331277 \h</w:instrText>
        </w:r>
        <w:r>
          <w:rPr>
            <w:webHidden/>
          </w:rPr>
          <w:fldChar w:fldCharType="separate"/>
        </w:r>
        <w:r>
          <w:rPr>
            <w:rStyle w:val="Czeindeksu"/>
            <w:rFonts w:cs="Arial" w:ascii="Arial" w:hAnsi="Arial"/>
            <w:vanish w:val="false"/>
            <w:sz w:val="20"/>
          </w:rPr>
          <w:tab/>
          <w:t>22</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278">
        <w:r>
          <w:rPr>
            <w:webHidden/>
            <w:rStyle w:val="Czeindeksu"/>
            <w:rFonts w:cs="Arial" w:ascii="Arial" w:hAnsi="Arial"/>
            <w:sz w:val="20"/>
          </w:rPr>
          <w:t>2.3</w:t>
        </w:r>
        <w:r>
          <w:rPr>
            <w:rStyle w:val="Czeindeksu"/>
            <w:rFonts w:eastAsia="" w:cs="Arial" w:ascii="Arial" w:hAnsi="Arial" w:eastAsiaTheme="minorEastAsia"/>
            <w:color w:val="00000A"/>
            <w:sz w:val="20"/>
          </w:rPr>
          <w:tab/>
        </w:r>
        <w:r>
          <w:rPr>
            <w:rStyle w:val="Czeindeksu"/>
            <w:rFonts w:cs="Arial" w:ascii="Arial" w:hAnsi="Arial"/>
            <w:sz w:val="20"/>
          </w:rPr>
          <w:t>Charakterystyka procesów produkcyjnych</w:t>
        </w:r>
        <w:r>
          <w:rPr>
            <w:webHidden/>
          </w:rPr>
          <w:fldChar w:fldCharType="begin"/>
        </w:r>
        <w:r>
          <w:rPr>
            <w:webHidden/>
          </w:rPr>
          <w:instrText>PAGEREF _Toc518331278 \h</w:instrText>
        </w:r>
        <w:r>
          <w:rPr>
            <w:webHidden/>
          </w:rPr>
          <w:fldChar w:fldCharType="separate"/>
        </w:r>
        <w:r>
          <w:rPr>
            <w:rStyle w:val="Czeindeksu"/>
            <w:rFonts w:cs="Arial" w:ascii="Arial" w:hAnsi="Arial"/>
            <w:vanish w:val="false"/>
            <w:sz w:val="20"/>
          </w:rPr>
          <w:tab/>
          <w:t>22</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79">
        <w:r>
          <w:rPr>
            <w:webHidden/>
            <w:rStyle w:val="Czeindeksu"/>
            <w:rFonts w:cs="Arial" w:ascii="Arial" w:hAnsi="Arial"/>
            <w:sz w:val="20"/>
          </w:rPr>
          <w:t>2.3.1</w:t>
        </w:r>
        <w:r>
          <w:rPr>
            <w:rStyle w:val="Czeindeksu"/>
            <w:rFonts w:eastAsia="" w:cs="Arial" w:ascii="Arial" w:hAnsi="Arial" w:eastAsiaTheme="minorEastAsia"/>
            <w:color w:val="00000A"/>
            <w:sz w:val="20"/>
          </w:rPr>
          <w:tab/>
        </w:r>
        <w:r>
          <w:rPr>
            <w:rStyle w:val="Czeindeksu"/>
            <w:rFonts w:cs="Arial" w:ascii="Arial" w:hAnsi="Arial"/>
            <w:sz w:val="20"/>
          </w:rPr>
          <w:t>Ogólna charakterystyka przedsięwzięcia</w:t>
        </w:r>
        <w:r>
          <w:rPr>
            <w:webHidden/>
          </w:rPr>
          <w:fldChar w:fldCharType="begin"/>
        </w:r>
        <w:r>
          <w:rPr>
            <w:webHidden/>
          </w:rPr>
          <w:instrText>PAGEREF _Toc518331279 \h</w:instrText>
        </w:r>
        <w:r>
          <w:rPr>
            <w:webHidden/>
          </w:rPr>
          <w:fldChar w:fldCharType="separate"/>
        </w:r>
        <w:r>
          <w:rPr>
            <w:rStyle w:val="Czeindeksu"/>
            <w:rFonts w:cs="Arial" w:ascii="Arial" w:hAnsi="Arial"/>
            <w:vanish w:val="false"/>
            <w:sz w:val="20"/>
          </w:rPr>
          <w:tab/>
          <w:t>22</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0">
        <w:r>
          <w:rPr>
            <w:webHidden/>
            <w:rStyle w:val="Czeindeksu"/>
            <w:rFonts w:cs="Arial" w:ascii="Arial" w:hAnsi="Arial"/>
            <w:sz w:val="20"/>
          </w:rPr>
          <w:t>2.3.2</w:t>
        </w:r>
        <w:r>
          <w:rPr>
            <w:rStyle w:val="Czeindeksu"/>
            <w:rFonts w:eastAsia="" w:cs="Arial" w:ascii="Arial" w:hAnsi="Arial" w:eastAsiaTheme="minorEastAsia"/>
            <w:color w:val="00000A"/>
            <w:sz w:val="20"/>
          </w:rPr>
          <w:tab/>
        </w:r>
        <w:r>
          <w:rPr>
            <w:rStyle w:val="Czeindeksu"/>
            <w:rFonts w:cs="Arial" w:ascii="Arial" w:hAnsi="Arial"/>
            <w:sz w:val="20"/>
          </w:rPr>
          <w:t>Przekształcanie termiczne</w:t>
        </w:r>
        <w:r>
          <w:rPr>
            <w:webHidden/>
          </w:rPr>
          <w:fldChar w:fldCharType="begin"/>
        </w:r>
        <w:r>
          <w:rPr>
            <w:webHidden/>
          </w:rPr>
          <w:instrText>PAGEREF _Toc518331280 \h</w:instrText>
        </w:r>
        <w:r>
          <w:rPr>
            <w:webHidden/>
          </w:rPr>
          <w:fldChar w:fldCharType="separate"/>
        </w:r>
        <w:r>
          <w:rPr>
            <w:rStyle w:val="Czeindeksu"/>
            <w:rFonts w:cs="Arial" w:ascii="Arial" w:hAnsi="Arial"/>
            <w:vanish w:val="false"/>
            <w:sz w:val="20"/>
          </w:rPr>
          <w:tab/>
          <w:t>22</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1">
        <w:r>
          <w:rPr>
            <w:webHidden/>
            <w:rStyle w:val="Czeindeksu"/>
            <w:rFonts w:cs="Arial" w:ascii="Arial" w:hAnsi="Arial"/>
            <w:sz w:val="20"/>
          </w:rPr>
          <w:t>2.3.3</w:t>
        </w:r>
        <w:r>
          <w:rPr>
            <w:rStyle w:val="Czeindeksu"/>
            <w:rFonts w:eastAsia="" w:cs="Arial" w:ascii="Arial" w:hAnsi="Arial" w:eastAsiaTheme="minorEastAsia"/>
            <w:color w:val="00000A"/>
            <w:sz w:val="20"/>
          </w:rPr>
          <w:tab/>
        </w:r>
        <w:r>
          <w:rPr>
            <w:rStyle w:val="Czeindeksu"/>
            <w:rFonts w:cs="Arial" w:ascii="Arial" w:hAnsi="Arial"/>
            <w:sz w:val="20"/>
          </w:rPr>
          <w:t>Budowa systemu energetycznego</w:t>
        </w:r>
        <w:r>
          <w:rPr>
            <w:webHidden/>
          </w:rPr>
          <w:fldChar w:fldCharType="begin"/>
        </w:r>
        <w:r>
          <w:rPr>
            <w:webHidden/>
          </w:rPr>
          <w:instrText>PAGEREF _Toc518331281 \h</w:instrText>
        </w:r>
        <w:r>
          <w:rPr>
            <w:webHidden/>
          </w:rPr>
          <w:fldChar w:fldCharType="separate"/>
        </w:r>
        <w:r>
          <w:rPr>
            <w:rStyle w:val="Czeindeksu"/>
            <w:rFonts w:cs="Arial" w:ascii="Arial" w:hAnsi="Arial"/>
            <w:vanish w:val="false"/>
            <w:sz w:val="20"/>
          </w:rPr>
          <w:tab/>
          <w:t>23</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2">
        <w:r>
          <w:rPr>
            <w:webHidden/>
            <w:rStyle w:val="Czeindeksu"/>
            <w:rFonts w:cs="Arial" w:ascii="Arial" w:hAnsi="Arial"/>
            <w:sz w:val="20"/>
          </w:rPr>
          <w:t>2.3.4</w:t>
        </w:r>
        <w:r>
          <w:rPr>
            <w:rStyle w:val="Czeindeksu"/>
            <w:rFonts w:eastAsia="" w:cs="Arial" w:ascii="Arial" w:hAnsi="Arial" w:eastAsiaTheme="minorEastAsia"/>
            <w:color w:val="00000A"/>
            <w:sz w:val="20"/>
          </w:rPr>
          <w:tab/>
        </w:r>
        <w:r>
          <w:rPr>
            <w:rStyle w:val="Czeindeksu"/>
            <w:rFonts w:cs="Arial" w:ascii="Arial" w:hAnsi="Arial"/>
            <w:sz w:val="20"/>
          </w:rPr>
          <w:t>Przyjmowane odpady</w:t>
        </w:r>
        <w:r>
          <w:rPr>
            <w:webHidden/>
          </w:rPr>
          <w:fldChar w:fldCharType="begin"/>
        </w:r>
        <w:r>
          <w:rPr>
            <w:webHidden/>
          </w:rPr>
          <w:instrText>PAGEREF _Toc518331282 \h</w:instrText>
        </w:r>
        <w:r>
          <w:rPr>
            <w:webHidden/>
          </w:rPr>
          <w:fldChar w:fldCharType="separate"/>
        </w:r>
        <w:r>
          <w:rPr>
            <w:rStyle w:val="Czeindeksu"/>
            <w:rFonts w:cs="Arial" w:ascii="Arial" w:hAnsi="Arial"/>
            <w:vanish w:val="false"/>
            <w:sz w:val="20"/>
          </w:rPr>
          <w:tab/>
          <w:t>24</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283">
        <w:r>
          <w:rPr>
            <w:webHidden/>
            <w:rStyle w:val="Czeindeksu"/>
            <w:rFonts w:cs="Arial" w:ascii="Arial" w:hAnsi="Arial"/>
            <w:sz w:val="20"/>
          </w:rPr>
          <w:t>2.4</w:t>
        </w:r>
        <w:r>
          <w:rPr>
            <w:rStyle w:val="Czeindeksu"/>
            <w:rFonts w:eastAsia="" w:cs="Arial" w:ascii="Arial" w:hAnsi="Arial" w:eastAsiaTheme="minorEastAsia"/>
            <w:color w:val="00000A"/>
            <w:sz w:val="20"/>
          </w:rPr>
          <w:tab/>
        </w:r>
        <w:r>
          <w:rPr>
            <w:rStyle w:val="Czeindeksu"/>
            <w:rFonts w:cs="Arial" w:ascii="Arial" w:hAnsi="Arial"/>
            <w:sz w:val="20"/>
          </w:rPr>
          <w:t>Charakterystyka technologii – instalacja termicznego przekształcania odpadów</w:t>
        </w:r>
        <w:r>
          <w:rPr>
            <w:webHidden/>
          </w:rPr>
          <w:fldChar w:fldCharType="begin"/>
        </w:r>
        <w:r>
          <w:rPr>
            <w:webHidden/>
          </w:rPr>
          <w:instrText>PAGEREF _Toc518331283 \h</w:instrText>
        </w:r>
        <w:r>
          <w:rPr>
            <w:webHidden/>
          </w:rPr>
          <w:fldChar w:fldCharType="separate"/>
        </w:r>
        <w:r>
          <w:rPr>
            <w:rStyle w:val="Czeindeksu"/>
            <w:rFonts w:cs="Arial" w:ascii="Arial" w:hAnsi="Arial"/>
            <w:vanish w:val="false"/>
            <w:sz w:val="20"/>
          </w:rPr>
          <w:tab/>
          <w:t>25</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4">
        <w:r>
          <w:rPr>
            <w:webHidden/>
            <w:rStyle w:val="Czeindeksu"/>
            <w:rFonts w:cs="Arial" w:ascii="Arial" w:hAnsi="Arial"/>
            <w:sz w:val="20"/>
          </w:rPr>
          <w:t>2.4.1</w:t>
        </w:r>
        <w:r>
          <w:rPr>
            <w:rStyle w:val="Czeindeksu"/>
            <w:rFonts w:eastAsia="" w:cs="Arial" w:ascii="Arial" w:hAnsi="Arial" w:eastAsiaTheme="minorEastAsia"/>
            <w:color w:val="00000A"/>
            <w:sz w:val="20"/>
          </w:rPr>
          <w:tab/>
        </w:r>
        <w:r>
          <w:rPr>
            <w:rStyle w:val="Czeindeksu"/>
            <w:rFonts w:cs="Arial" w:ascii="Arial" w:hAnsi="Arial"/>
            <w:sz w:val="20"/>
          </w:rPr>
          <w:t>Rozwiązania technologiczne i użytkowe</w:t>
        </w:r>
        <w:r>
          <w:rPr>
            <w:webHidden/>
          </w:rPr>
          <w:fldChar w:fldCharType="begin"/>
        </w:r>
        <w:r>
          <w:rPr>
            <w:webHidden/>
          </w:rPr>
          <w:instrText>PAGEREF _Toc518331284 \h</w:instrText>
        </w:r>
        <w:r>
          <w:rPr>
            <w:webHidden/>
          </w:rPr>
          <w:fldChar w:fldCharType="separate"/>
        </w:r>
        <w:r>
          <w:rPr>
            <w:rStyle w:val="Czeindeksu"/>
            <w:rFonts w:cs="Arial" w:ascii="Arial" w:hAnsi="Arial"/>
            <w:vanish w:val="false"/>
            <w:sz w:val="20"/>
          </w:rPr>
          <w:tab/>
          <w:t>25</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5">
        <w:r>
          <w:rPr>
            <w:webHidden/>
            <w:rStyle w:val="Czeindeksu"/>
            <w:rFonts w:cs="Arial" w:ascii="Arial" w:hAnsi="Arial"/>
            <w:sz w:val="20"/>
          </w:rPr>
          <w:t>2.4.2</w:t>
        </w:r>
        <w:r>
          <w:rPr>
            <w:rStyle w:val="Czeindeksu"/>
            <w:rFonts w:eastAsia="" w:cs="Arial" w:ascii="Arial" w:hAnsi="Arial" w:eastAsiaTheme="minorEastAsia"/>
            <w:color w:val="00000A"/>
            <w:sz w:val="20"/>
          </w:rPr>
          <w:tab/>
        </w:r>
        <w:r>
          <w:rPr>
            <w:rStyle w:val="Czeindeksu"/>
            <w:rFonts w:cs="Arial" w:ascii="Arial" w:hAnsi="Arial"/>
            <w:sz w:val="20"/>
          </w:rPr>
          <w:t>Zakładane parametry techniczne instalacji</w:t>
        </w:r>
        <w:r>
          <w:rPr>
            <w:webHidden/>
          </w:rPr>
          <w:fldChar w:fldCharType="begin"/>
        </w:r>
        <w:r>
          <w:rPr>
            <w:webHidden/>
          </w:rPr>
          <w:instrText>PAGEREF _Toc518331285 \h</w:instrText>
        </w:r>
        <w:r>
          <w:rPr>
            <w:webHidden/>
          </w:rPr>
          <w:fldChar w:fldCharType="separate"/>
        </w:r>
        <w:r>
          <w:rPr>
            <w:rStyle w:val="Czeindeksu"/>
            <w:rFonts w:cs="Arial" w:ascii="Arial" w:hAnsi="Arial"/>
            <w:vanish w:val="false"/>
            <w:sz w:val="20"/>
          </w:rPr>
          <w:tab/>
          <w:t>30</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6">
        <w:r>
          <w:rPr>
            <w:webHidden/>
            <w:rStyle w:val="Czeindeksu"/>
            <w:rFonts w:cs="Arial" w:ascii="Arial" w:hAnsi="Arial"/>
            <w:sz w:val="20"/>
          </w:rPr>
          <w:t>2.4.3</w:t>
        </w:r>
        <w:r>
          <w:rPr>
            <w:rStyle w:val="Czeindeksu"/>
            <w:rFonts w:eastAsia="" w:cs="Arial" w:ascii="Arial" w:hAnsi="Arial" w:eastAsiaTheme="minorEastAsia"/>
            <w:color w:val="00000A"/>
            <w:sz w:val="20"/>
          </w:rPr>
          <w:tab/>
        </w:r>
        <w:r>
          <w:rPr>
            <w:rStyle w:val="Czeindeksu"/>
            <w:rFonts w:cs="Arial" w:ascii="Arial" w:hAnsi="Arial"/>
            <w:sz w:val="20"/>
          </w:rPr>
          <w:t>Bilans energetyczny planowanego przedsięwzięcia</w:t>
        </w:r>
        <w:r>
          <w:rPr>
            <w:webHidden/>
          </w:rPr>
          <w:fldChar w:fldCharType="begin"/>
        </w:r>
        <w:r>
          <w:rPr>
            <w:webHidden/>
          </w:rPr>
          <w:instrText>PAGEREF _Toc518331286 \h</w:instrText>
        </w:r>
        <w:r>
          <w:rPr>
            <w:webHidden/>
          </w:rPr>
          <w:fldChar w:fldCharType="separate"/>
        </w:r>
        <w:r>
          <w:rPr>
            <w:rStyle w:val="Czeindeksu"/>
            <w:rFonts w:cs="Arial" w:ascii="Arial" w:hAnsi="Arial"/>
            <w:vanish w:val="false"/>
            <w:sz w:val="20"/>
          </w:rPr>
          <w:tab/>
          <w:t>31</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7">
        <w:r>
          <w:rPr>
            <w:webHidden/>
            <w:rStyle w:val="Czeindeksu"/>
            <w:rFonts w:cs="Arial" w:ascii="Arial" w:hAnsi="Arial"/>
            <w:sz w:val="20"/>
          </w:rPr>
          <w:t>2.4.4</w:t>
        </w:r>
        <w:r>
          <w:rPr>
            <w:rStyle w:val="Czeindeksu"/>
            <w:rFonts w:eastAsia="" w:cs="Arial" w:ascii="Arial" w:hAnsi="Arial" w:eastAsiaTheme="minorEastAsia"/>
            <w:color w:val="00000A"/>
            <w:sz w:val="20"/>
          </w:rPr>
          <w:tab/>
        </w:r>
        <w:r>
          <w:rPr>
            <w:rStyle w:val="Czeindeksu"/>
            <w:rFonts w:cs="Arial" w:ascii="Arial" w:hAnsi="Arial"/>
            <w:sz w:val="20"/>
          </w:rPr>
          <w:t>Schemat technologiczny</w:t>
        </w:r>
        <w:r>
          <w:rPr>
            <w:webHidden/>
          </w:rPr>
          <w:fldChar w:fldCharType="begin"/>
        </w:r>
        <w:r>
          <w:rPr>
            <w:webHidden/>
          </w:rPr>
          <w:instrText>PAGEREF _Toc518331287 \h</w:instrText>
        </w:r>
        <w:r>
          <w:rPr>
            <w:webHidden/>
          </w:rPr>
          <w:fldChar w:fldCharType="separate"/>
        </w:r>
        <w:r>
          <w:rPr>
            <w:rStyle w:val="Czeindeksu"/>
            <w:rFonts w:cs="Arial" w:ascii="Arial" w:hAnsi="Arial"/>
            <w:vanish w:val="false"/>
            <w:sz w:val="20"/>
          </w:rPr>
          <w:tab/>
          <w:t>32</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8">
        <w:r>
          <w:rPr>
            <w:webHidden/>
            <w:rStyle w:val="Czeindeksu"/>
            <w:rFonts w:cs="Arial" w:ascii="Arial" w:hAnsi="Arial"/>
            <w:sz w:val="20"/>
          </w:rPr>
          <w:t>2.4.5</w:t>
        </w:r>
        <w:r>
          <w:rPr>
            <w:rStyle w:val="Czeindeksu"/>
            <w:rFonts w:eastAsia="" w:cs="Arial" w:ascii="Arial" w:hAnsi="Arial" w:eastAsiaTheme="minorEastAsia"/>
            <w:color w:val="00000A"/>
            <w:sz w:val="20"/>
          </w:rPr>
          <w:tab/>
        </w:r>
        <w:r>
          <w:rPr>
            <w:rStyle w:val="Czeindeksu"/>
            <w:rFonts w:cs="Arial" w:ascii="Arial" w:hAnsi="Arial"/>
            <w:sz w:val="20"/>
          </w:rPr>
          <w:t>Oczekiwane parametry emisyjne instalacji</w:t>
        </w:r>
        <w:r>
          <w:rPr>
            <w:webHidden/>
          </w:rPr>
          <w:fldChar w:fldCharType="begin"/>
        </w:r>
        <w:r>
          <w:rPr>
            <w:webHidden/>
          </w:rPr>
          <w:instrText>PAGEREF _Toc518331288 \h</w:instrText>
        </w:r>
        <w:r>
          <w:rPr>
            <w:webHidden/>
          </w:rPr>
          <w:fldChar w:fldCharType="separate"/>
        </w:r>
        <w:r>
          <w:rPr>
            <w:rStyle w:val="Czeindeksu"/>
            <w:rFonts w:cs="Arial" w:ascii="Arial" w:hAnsi="Arial"/>
            <w:vanish w:val="false"/>
            <w:sz w:val="20"/>
          </w:rPr>
          <w:tab/>
          <w:t>33</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9">
        <w:r>
          <w:rPr>
            <w:webHidden/>
            <w:rStyle w:val="Czeindeksu"/>
            <w:rFonts w:cs="Arial" w:ascii="Arial" w:hAnsi="Arial"/>
            <w:sz w:val="20"/>
          </w:rPr>
          <w:t>2.4.6</w:t>
        </w:r>
        <w:r>
          <w:rPr>
            <w:rStyle w:val="Czeindeksu"/>
            <w:rFonts w:eastAsia="" w:cs="Arial" w:ascii="Arial" w:hAnsi="Arial" w:eastAsiaTheme="minorEastAsia"/>
            <w:color w:val="00000A"/>
            <w:sz w:val="20"/>
          </w:rPr>
          <w:tab/>
        </w:r>
        <w:r>
          <w:rPr>
            <w:rStyle w:val="Czeindeksu"/>
            <w:rFonts w:cs="Arial" w:ascii="Arial" w:hAnsi="Arial"/>
            <w:sz w:val="20"/>
          </w:rPr>
          <w:t>Zapotrzebowanie na wodę</w:t>
        </w:r>
        <w:r>
          <w:rPr>
            <w:webHidden/>
          </w:rPr>
          <w:fldChar w:fldCharType="begin"/>
        </w:r>
        <w:r>
          <w:rPr>
            <w:webHidden/>
          </w:rPr>
          <w:instrText>PAGEREF _Toc518331289 \h</w:instrText>
        </w:r>
        <w:r>
          <w:rPr>
            <w:webHidden/>
          </w:rPr>
          <w:fldChar w:fldCharType="separate"/>
        </w:r>
        <w:r>
          <w:rPr>
            <w:rStyle w:val="Czeindeksu"/>
            <w:rFonts w:cs="Arial" w:ascii="Arial" w:hAnsi="Arial"/>
            <w:vanish w:val="false"/>
            <w:sz w:val="20"/>
          </w:rPr>
          <w:tab/>
          <w:t>35</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90">
        <w:r>
          <w:rPr>
            <w:webHidden/>
            <w:rStyle w:val="Czeindeksu"/>
            <w:rFonts w:cs="Arial" w:ascii="Arial" w:hAnsi="Arial"/>
            <w:sz w:val="20"/>
          </w:rPr>
          <w:t>2.4.7</w:t>
        </w:r>
        <w:r>
          <w:rPr>
            <w:rStyle w:val="Czeindeksu"/>
            <w:rFonts w:eastAsia="" w:cs="Arial" w:ascii="Arial" w:hAnsi="Arial" w:eastAsiaTheme="minorEastAsia"/>
            <w:color w:val="00000A"/>
            <w:sz w:val="20"/>
          </w:rPr>
          <w:tab/>
        </w:r>
        <w:r>
          <w:rPr>
            <w:rStyle w:val="Czeindeksu"/>
            <w:rFonts w:cs="Arial" w:ascii="Arial" w:hAnsi="Arial"/>
            <w:sz w:val="20"/>
          </w:rPr>
          <w:t>Zapotrzebowanie na chemikalia i materiały</w:t>
        </w:r>
        <w:r>
          <w:rPr>
            <w:webHidden/>
          </w:rPr>
          <w:fldChar w:fldCharType="begin"/>
        </w:r>
        <w:r>
          <w:rPr>
            <w:webHidden/>
          </w:rPr>
          <w:instrText>PAGEREF _Toc518331290 \h</w:instrText>
        </w:r>
        <w:r>
          <w:rPr>
            <w:webHidden/>
          </w:rPr>
          <w:fldChar w:fldCharType="separate"/>
        </w:r>
        <w:r>
          <w:rPr>
            <w:rStyle w:val="Czeindeksu"/>
            <w:rFonts w:cs="Arial" w:ascii="Arial" w:hAnsi="Arial"/>
            <w:vanish w:val="false"/>
            <w:sz w:val="20"/>
          </w:rPr>
          <w:tab/>
          <w:t>36</w:t>
        </w:r>
        <w:r>
          <w:rPr>
            <w:webHidden/>
          </w:rPr>
          <w:fldChar w:fldCharType="end"/>
        </w:r>
      </w:hyperlink>
    </w:p>
    <w:p>
      <w:pPr>
        <w:pStyle w:val="Spistreci3"/>
        <w:tabs>
          <w:tab w:val="left" w:pos="1540" w:leader="none"/>
          <w:tab w:val="right" w:pos="9356" w:leader="dot"/>
        </w:tabs>
        <w:ind w:left="1540" w:hanging="703"/>
        <w:rPr>
          <w:rFonts w:ascii="Arial" w:hAnsi="Arial" w:eastAsia="" w:cs="Arial" w:eastAsiaTheme="minorEastAsia"/>
          <w:color w:val="00000A"/>
          <w:sz w:val="20"/>
        </w:rPr>
      </w:pPr>
      <w:hyperlink w:anchor="_Toc518331291">
        <w:r>
          <w:rPr>
            <w:webHidden/>
            <w:rStyle w:val="Czeindeksu"/>
            <w:rFonts w:cs="Arial" w:ascii="Arial" w:hAnsi="Arial"/>
            <w:sz w:val="20"/>
          </w:rPr>
          <w:t>2.4.8</w:t>
        </w:r>
        <w:r>
          <w:rPr>
            <w:rStyle w:val="Czeindeksu"/>
            <w:rFonts w:eastAsia="" w:cs="Arial" w:ascii="Arial" w:hAnsi="Arial" w:eastAsiaTheme="minorEastAsia"/>
            <w:color w:val="00000A"/>
            <w:sz w:val="20"/>
          </w:rPr>
          <w:tab/>
        </w:r>
        <w:r>
          <w:rPr>
            <w:rStyle w:val="Czeindeksu"/>
            <w:rFonts w:cs="Arial" w:ascii="Arial" w:hAnsi="Arial"/>
            <w:sz w:val="20"/>
          </w:rPr>
          <w:t>Spełnianie wymagań dotyczących prowadzenia procesu termicznego przekształcania odpadów</w:t>
        </w:r>
        <w:r>
          <w:rPr>
            <w:webHidden/>
          </w:rPr>
          <w:fldChar w:fldCharType="begin"/>
        </w:r>
        <w:r>
          <w:rPr>
            <w:webHidden/>
          </w:rPr>
          <w:instrText>PAGEREF _Toc518331291 \h</w:instrText>
        </w:r>
        <w:r>
          <w:rPr>
            <w:webHidden/>
          </w:rPr>
          <w:fldChar w:fldCharType="separate"/>
        </w:r>
        <w:r>
          <w:rPr>
            <w:rStyle w:val="Czeindeksu"/>
            <w:rFonts w:cs="Arial" w:ascii="Arial" w:hAnsi="Arial"/>
            <w:vanish w:val="false"/>
            <w:sz w:val="20"/>
          </w:rPr>
          <w:tab/>
          <w:t>36</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292">
        <w:r>
          <w:rPr>
            <w:webHidden/>
            <w:rStyle w:val="Czeindeksu"/>
            <w:rFonts w:cs="Arial" w:ascii="Arial" w:hAnsi="Arial"/>
            <w:sz w:val="20"/>
          </w:rPr>
          <w:t>2.5</w:t>
        </w:r>
        <w:r>
          <w:rPr>
            <w:rStyle w:val="Czeindeksu"/>
            <w:rFonts w:eastAsia="" w:cs="Arial" w:ascii="Arial" w:hAnsi="Arial" w:eastAsiaTheme="minorEastAsia"/>
            <w:color w:val="00000A"/>
            <w:sz w:val="20"/>
          </w:rPr>
          <w:tab/>
        </w:r>
        <w:r>
          <w:rPr>
            <w:rStyle w:val="Czeindeksu"/>
            <w:rFonts w:cs="Arial" w:ascii="Arial" w:hAnsi="Arial"/>
            <w:sz w:val="20"/>
          </w:rPr>
          <w:t>Rodzaje i ilości emisji, w tym odpadów, wynikające z funkcjonowania planowanego przedsięwzięcia</w:t>
        </w:r>
        <w:r>
          <w:rPr>
            <w:webHidden/>
          </w:rPr>
          <w:fldChar w:fldCharType="begin"/>
        </w:r>
        <w:r>
          <w:rPr>
            <w:webHidden/>
          </w:rPr>
          <w:instrText>PAGEREF _Toc518331292 \h</w:instrText>
        </w:r>
        <w:r>
          <w:rPr>
            <w:webHidden/>
          </w:rPr>
          <w:fldChar w:fldCharType="separate"/>
        </w:r>
        <w:r>
          <w:rPr>
            <w:rStyle w:val="Czeindeksu"/>
            <w:rFonts w:cs="Arial" w:ascii="Arial" w:hAnsi="Arial"/>
            <w:vanish w:val="false"/>
            <w:sz w:val="20"/>
          </w:rPr>
          <w:tab/>
          <w:t>38</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93">
        <w:r>
          <w:rPr>
            <w:webHidden/>
            <w:rStyle w:val="Czeindeksu"/>
            <w:rFonts w:cs="Arial" w:ascii="Arial" w:hAnsi="Arial"/>
            <w:sz w:val="20"/>
          </w:rPr>
          <w:t>2.5.1</w:t>
        </w:r>
        <w:r>
          <w:rPr>
            <w:rStyle w:val="Czeindeksu"/>
            <w:rFonts w:eastAsia="" w:cs="Arial" w:ascii="Arial" w:hAnsi="Arial" w:eastAsiaTheme="minorEastAsia"/>
            <w:color w:val="00000A"/>
            <w:sz w:val="20"/>
          </w:rPr>
          <w:tab/>
        </w:r>
        <w:r>
          <w:rPr>
            <w:rStyle w:val="Czeindeksu"/>
            <w:rFonts w:cs="Arial" w:ascii="Arial" w:hAnsi="Arial"/>
            <w:sz w:val="20"/>
          </w:rPr>
          <w:t>Etap realizacji</w:t>
        </w:r>
        <w:r>
          <w:rPr>
            <w:webHidden/>
          </w:rPr>
          <w:fldChar w:fldCharType="begin"/>
        </w:r>
        <w:r>
          <w:rPr>
            <w:webHidden/>
          </w:rPr>
          <w:instrText>PAGEREF _Toc518331293 \h</w:instrText>
        </w:r>
        <w:r>
          <w:rPr>
            <w:webHidden/>
          </w:rPr>
          <w:fldChar w:fldCharType="separate"/>
        </w:r>
        <w:r>
          <w:rPr>
            <w:rStyle w:val="Czeindeksu"/>
            <w:rFonts w:cs="Arial" w:ascii="Arial" w:hAnsi="Arial"/>
            <w:vanish w:val="false"/>
            <w:sz w:val="20"/>
          </w:rPr>
          <w:tab/>
          <w:t>38</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94">
        <w:r>
          <w:rPr>
            <w:webHidden/>
            <w:rStyle w:val="Czeindeksu"/>
            <w:rFonts w:cs="Arial" w:ascii="Arial" w:hAnsi="Arial"/>
            <w:sz w:val="20"/>
          </w:rPr>
          <w:t>2.5.2</w:t>
        </w:r>
        <w:r>
          <w:rPr>
            <w:rStyle w:val="Czeindeksu"/>
            <w:rFonts w:eastAsia="" w:cs="Arial" w:ascii="Arial" w:hAnsi="Arial" w:eastAsiaTheme="minorEastAsia"/>
            <w:color w:val="00000A"/>
            <w:sz w:val="20"/>
          </w:rPr>
          <w:tab/>
        </w:r>
        <w:r>
          <w:rPr>
            <w:rStyle w:val="Czeindeksu"/>
            <w:rFonts w:cs="Arial" w:ascii="Arial" w:hAnsi="Arial"/>
            <w:sz w:val="20"/>
          </w:rPr>
          <w:t>Etap eksploatacji</w:t>
        </w:r>
        <w:r>
          <w:rPr>
            <w:webHidden/>
          </w:rPr>
          <w:fldChar w:fldCharType="begin"/>
        </w:r>
        <w:r>
          <w:rPr>
            <w:webHidden/>
          </w:rPr>
          <w:instrText>PAGEREF _Toc518331294 \h</w:instrText>
        </w:r>
        <w:r>
          <w:rPr>
            <w:webHidden/>
          </w:rPr>
          <w:fldChar w:fldCharType="separate"/>
        </w:r>
        <w:r>
          <w:rPr>
            <w:rStyle w:val="Czeindeksu"/>
            <w:rFonts w:cs="Arial" w:ascii="Arial" w:hAnsi="Arial"/>
            <w:vanish w:val="false"/>
            <w:sz w:val="20"/>
          </w:rPr>
          <w:tab/>
          <w:t>43</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95">
        <w:r>
          <w:rPr>
            <w:webHidden/>
            <w:rStyle w:val="Czeindeksu"/>
            <w:rFonts w:cs="Arial" w:ascii="Arial" w:hAnsi="Arial"/>
            <w:sz w:val="20"/>
          </w:rPr>
          <w:t>2.5.3</w:t>
        </w:r>
        <w:r>
          <w:rPr>
            <w:rStyle w:val="Czeindeksu"/>
            <w:rFonts w:eastAsia="" w:cs="Arial" w:ascii="Arial" w:hAnsi="Arial" w:eastAsiaTheme="minorEastAsia"/>
            <w:color w:val="00000A"/>
            <w:sz w:val="20"/>
          </w:rPr>
          <w:tab/>
        </w:r>
        <w:r>
          <w:rPr>
            <w:rStyle w:val="Czeindeksu"/>
            <w:rFonts w:cs="Arial" w:ascii="Arial" w:hAnsi="Arial"/>
            <w:sz w:val="20"/>
          </w:rPr>
          <w:t>Etap likwidacji</w:t>
        </w:r>
        <w:r>
          <w:rPr>
            <w:webHidden/>
          </w:rPr>
          <w:fldChar w:fldCharType="begin"/>
        </w:r>
        <w:r>
          <w:rPr>
            <w:webHidden/>
          </w:rPr>
          <w:instrText>PAGEREF _Toc518331295 \h</w:instrText>
        </w:r>
        <w:r>
          <w:rPr>
            <w:webHidden/>
          </w:rPr>
          <w:fldChar w:fldCharType="separate"/>
        </w:r>
        <w:r>
          <w:rPr>
            <w:rStyle w:val="Czeindeksu"/>
            <w:rFonts w:cs="Arial" w:ascii="Arial" w:hAnsi="Arial"/>
            <w:vanish w:val="false"/>
            <w:sz w:val="20"/>
          </w:rPr>
          <w:tab/>
          <w:t>44</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296">
        <w:r>
          <w:rPr>
            <w:webHidden/>
            <w:rStyle w:val="Czeindeksu"/>
            <w:rFonts w:cs="Arial" w:ascii="Arial" w:hAnsi="Arial"/>
            <w:sz w:val="20"/>
          </w:rPr>
          <w:t>2.6</w:t>
        </w:r>
        <w:r>
          <w:rPr>
            <w:rStyle w:val="Czeindeksu"/>
            <w:rFonts w:eastAsia="" w:cs="Arial" w:ascii="Arial" w:hAnsi="Arial" w:eastAsiaTheme="minorEastAsia"/>
            <w:color w:val="00000A"/>
            <w:sz w:val="20"/>
          </w:rPr>
          <w:tab/>
        </w:r>
        <w:r>
          <w:rPr>
            <w:rStyle w:val="Czeindeksu"/>
            <w:rFonts w:cs="Arial" w:ascii="Arial" w:hAnsi="Arial"/>
            <w:sz w:val="20"/>
          </w:rPr>
          <w:t>Różnorodność biologiczna, wykorzystywanie zasobów naturalnych, w tym gleby, wody i powierzchni ziemi</w:t>
        </w:r>
        <w:r>
          <w:rPr>
            <w:webHidden/>
          </w:rPr>
          <w:fldChar w:fldCharType="begin"/>
        </w:r>
        <w:r>
          <w:rPr>
            <w:webHidden/>
          </w:rPr>
          <w:instrText>PAGEREF _Toc518331296 \h</w:instrText>
        </w:r>
        <w:r>
          <w:rPr>
            <w:webHidden/>
          </w:rPr>
          <w:fldChar w:fldCharType="separate"/>
        </w:r>
        <w:r>
          <w:rPr>
            <w:rStyle w:val="Czeindeksu"/>
            <w:rFonts w:cs="Arial" w:ascii="Arial" w:hAnsi="Arial"/>
            <w:vanish w:val="false"/>
            <w:sz w:val="20"/>
          </w:rPr>
          <w:tab/>
          <w:t>44</w:t>
        </w:r>
        <w:r>
          <w:rPr>
            <w:webHidden/>
          </w:rPr>
          <w:fldChar w:fldCharType="end"/>
        </w:r>
      </w:hyperlink>
    </w:p>
    <w:p>
      <w:pPr>
        <w:pStyle w:val="Spistreci1"/>
        <w:rPr>
          <w:rFonts w:eastAsia="" w:eastAsiaTheme="minorEastAsia"/>
        </w:rPr>
      </w:pPr>
      <w:hyperlink w:anchor="_Toc518331297">
        <w:r>
          <w:rPr>
            <w:webHidden/>
            <w:rStyle w:val="Czeindeksu"/>
          </w:rPr>
          <w:t>3</w:t>
        </w:r>
        <w:r>
          <w:rPr>
            <w:rStyle w:val="Czeindeksu"/>
            <w:rFonts w:eastAsia="" w:eastAsiaTheme="minorEastAsia"/>
          </w:rPr>
          <w:tab/>
        </w:r>
        <w:r>
          <w:rPr>
            <w:rStyle w:val="Czeindeksu"/>
          </w:rPr>
          <w:t>RYZYKO WYSTĄPIENIA POWAŻNYCH AWARII LUB KATASTROF NATURALNYCH I BUDOWLANYCH, PRZY UWZGLĘDNIENIU UŻYWANYCH SUBSTANCJI I STOSOWANYCH TECHNOLOGII, W TYM RYZYKO ZWIĄZANE ZE ZMIANĄ KLIMATU</w:t>
        </w:r>
        <w:r>
          <w:rPr>
            <w:webHidden/>
          </w:rPr>
          <w:fldChar w:fldCharType="begin"/>
        </w:r>
        <w:r>
          <w:rPr>
            <w:webHidden/>
          </w:rPr>
          <w:instrText>PAGEREF _Toc518331297 \h</w:instrText>
        </w:r>
        <w:r>
          <w:rPr>
            <w:webHidden/>
          </w:rPr>
          <w:fldChar w:fldCharType="separate"/>
        </w:r>
        <w:r>
          <w:rPr>
            <w:rStyle w:val="Czeindeksu"/>
            <w:vanish w:val="false"/>
          </w:rPr>
          <w:tab/>
          <w:t>45</w:t>
        </w:r>
        <w:r>
          <w:rPr>
            <w:webHidden/>
          </w:rPr>
          <w:fldChar w:fldCharType="end"/>
        </w:r>
      </w:hyperlink>
    </w:p>
    <w:p>
      <w:pPr>
        <w:pStyle w:val="Spistreci1"/>
        <w:rPr>
          <w:rFonts w:eastAsia="" w:eastAsiaTheme="minorEastAsia"/>
        </w:rPr>
      </w:pPr>
      <w:hyperlink w:anchor="_Toc518331298">
        <w:r>
          <w:rPr>
            <w:webHidden/>
            <w:rStyle w:val="Czeindeksu"/>
          </w:rPr>
          <w:t>4</w:t>
        </w:r>
        <w:r>
          <w:rPr>
            <w:rStyle w:val="Czeindeksu"/>
            <w:rFonts w:eastAsia="" w:eastAsiaTheme="minorEastAsia"/>
          </w:rPr>
          <w:tab/>
        </w:r>
        <w:r>
          <w:rPr>
            <w:rStyle w:val="Czeindeksu"/>
          </w:rPr>
          <w:t>OPIS ELEMENTÓW PRZYRODNICZYCH ŚRODOWISKA OBJĘTYCH ZAKRESEM PRZEWIDYWANEGO ODDZIAŁYWANIA PLANOWANEGO PRZEDSIĘWZIĘCIA NA ŚRODOWISKO, W TYM ELEMENTÓW ŚRODOWISKA OBJĘTYCH OCHRONĄ NA PODSTAWIE USTAWY Z DNIA 16 KWIETNIA 2004R. O OCHRONIE PRZYRODY</w:t>
        </w:r>
        <w:r>
          <w:rPr>
            <w:webHidden/>
          </w:rPr>
          <w:fldChar w:fldCharType="begin"/>
        </w:r>
        <w:r>
          <w:rPr>
            <w:webHidden/>
          </w:rPr>
          <w:instrText>PAGEREF _Toc518331298 \h</w:instrText>
        </w:r>
        <w:r>
          <w:rPr>
            <w:webHidden/>
          </w:rPr>
          <w:fldChar w:fldCharType="separate"/>
        </w:r>
        <w:r>
          <w:rPr>
            <w:rStyle w:val="Czeindeksu"/>
            <w:vanish w:val="false"/>
          </w:rPr>
          <w:tab/>
          <w:t>48</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299">
        <w:r>
          <w:rPr>
            <w:webHidden/>
            <w:rStyle w:val="Czeindeksu"/>
            <w:rFonts w:cs="Arial" w:ascii="Arial" w:hAnsi="Arial"/>
            <w:sz w:val="20"/>
          </w:rPr>
          <w:t>4.1</w:t>
        </w:r>
        <w:r>
          <w:rPr>
            <w:rStyle w:val="Czeindeksu"/>
            <w:rFonts w:eastAsia="" w:cs="Arial" w:ascii="Arial" w:hAnsi="Arial" w:eastAsiaTheme="minorEastAsia"/>
            <w:color w:val="00000A"/>
            <w:sz w:val="20"/>
          </w:rPr>
          <w:tab/>
        </w:r>
        <w:r>
          <w:rPr>
            <w:rStyle w:val="Czeindeksu"/>
            <w:rFonts w:cs="Arial" w:ascii="Arial" w:hAnsi="Arial"/>
            <w:sz w:val="20"/>
          </w:rPr>
          <w:t>Położenie fizyczno-geograficzne</w:t>
        </w:r>
        <w:r>
          <w:rPr>
            <w:webHidden/>
          </w:rPr>
          <w:fldChar w:fldCharType="begin"/>
        </w:r>
        <w:r>
          <w:rPr>
            <w:webHidden/>
          </w:rPr>
          <w:instrText>PAGEREF _Toc518331299 \h</w:instrText>
        </w:r>
        <w:r>
          <w:rPr>
            <w:webHidden/>
          </w:rPr>
          <w:fldChar w:fldCharType="separate"/>
        </w:r>
        <w:r>
          <w:rPr>
            <w:rStyle w:val="Czeindeksu"/>
            <w:rFonts w:cs="Arial" w:ascii="Arial" w:hAnsi="Arial"/>
            <w:vanish w:val="false"/>
            <w:sz w:val="20"/>
          </w:rPr>
          <w:tab/>
          <w:t>48</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00">
        <w:r>
          <w:rPr>
            <w:webHidden/>
            <w:rStyle w:val="Czeindeksu"/>
            <w:rFonts w:cs="Arial" w:ascii="Arial" w:hAnsi="Arial"/>
            <w:sz w:val="20"/>
          </w:rPr>
          <w:t>4.2</w:t>
        </w:r>
        <w:r>
          <w:rPr>
            <w:rStyle w:val="Czeindeksu"/>
            <w:rFonts w:eastAsia="" w:cs="Arial" w:ascii="Arial" w:hAnsi="Arial" w:eastAsiaTheme="minorEastAsia"/>
            <w:color w:val="00000A"/>
            <w:sz w:val="20"/>
          </w:rPr>
          <w:tab/>
        </w:r>
        <w:r>
          <w:rPr>
            <w:rStyle w:val="Czeindeksu"/>
            <w:rFonts w:cs="Arial" w:ascii="Arial" w:hAnsi="Arial"/>
            <w:sz w:val="20"/>
          </w:rPr>
          <w:t>Geomorfologia</w:t>
        </w:r>
        <w:r>
          <w:rPr>
            <w:webHidden/>
          </w:rPr>
          <w:fldChar w:fldCharType="begin"/>
        </w:r>
        <w:r>
          <w:rPr>
            <w:webHidden/>
          </w:rPr>
          <w:instrText>PAGEREF _Toc518331300 \h</w:instrText>
        </w:r>
        <w:r>
          <w:rPr>
            <w:webHidden/>
          </w:rPr>
          <w:fldChar w:fldCharType="separate"/>
        </w:r>
        <w:r>
          <w:rPr>
            <w:rStyle w:val="Czeindeksu"/>
            <w:rFonts w:cs="Arial" w:ascii="Arial" w:hAnsi="Arial"/>
            <w:vanish w:val="false"/>
            <w:sz w:val="20"/>
          </w:rPr>
          <w:tab/>
          <w:t>49</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01">
        <w:r>
          <w:rPr>
            <w:webHidden/>
            <w:rStyle w:val="Czeindeksu"/>
            <w:rFonts w:cs="Arial" w:ascii="Arial" w:hAnsi="Arial"/>
            <w:sz w:val="20"/>
          </w:rPr>
          <w:t>4.3</w:t>
        </w:r>
        <w:r>
          <w:rPr>
            <w:rStyle w:val="Czeindeksu"/>
            <w:rFonts w:eastAsia="" w:cs="Arial" w:ascii="Arial" w:hAnsi="Arial" w:eastAsiaTheme="minorEastAsia"/>
            <w:color w:val="00000A"/>
            <w:sz w:val="20"/>
          </w:rPr>
          <w:tab/>
        </w:r>
        <w:r>
          <w:rPr>
            <w:rStyle w:val="Czeindeksu"/>
            <w:rFonts w:cs="Arial" w:ascii="Arial" w:hAnsi="Arial"/>
            <w:sz w:val="20"/>
          </w:rPr>
          <w:t>Budowa geologiczna</w:t>
        </w:r>
        <w:r>
          <w:rPr>
            <w:webHidden/>
          </w:rPr>
          <w:fldChar w:fldCharType="begin"/>
        </w:r>
        <w:r>
          <w:rPr>
            <w:webHidden/>
          </w:rPr>
          <w:instrText>PAGEREF _Toc518331301 \h</w:instrText>
        </w:r>
        <w:r>
          <w:rPr>
            <w:webHidden/>
          </w:rPr>
          <w:fldChar w:fldCharType="separate"/>
        </w:r>
        <w:r>
          <w:rPr>
            <w:rStyle w:val="Czeindeksu"/>
            <w:rFonts w:cs="Arial" w:ascii="Arial" w:hAnsi="Arial"/>
            <w:vanish w:val="false"/>
            <w:sz w:val="20"/>
          </w:rPr>
          <w:tab/>
          <w:t>51</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02">
        <w:r>
          <w:rPr>
            <w:webHidden/>
            <w:rStyle w:val="Czeindeksu"/>
            <w:rFonts w:cs="Arial" w:ascii="Arial" w:hAnsi="Arial"/>
            <w:bCs/>
            <w:sz w:val="20"/>
          </w:rPr>
          <w:t>4.4</w:t>
        </w:r>
        <w:r>
          <w:rPr>
            <w:rStyle w:val="Czeindeksu"/>
            <w:rFonts w:eastAsia="" w:cs="Arial" w:ascii="Arial" w:hAnsi="Arial" w:eastAsiaTheme="minorEastAsia"/>
            <w:color w:val="00000A"/>
            <w:sz w:val="20"/>
          </w:rPr>
          <w:tab/>
        </w:r>
        <w:r>
          <w:rPr>
            <w:rStyle w:val="Czeindeksu"/>
            <w:rFonts w:cs="Arial" w:ascii="Arial" w:hAnsi="Arial"/>
            <w:sz w:val="20"/>
          </w:rPr>
          <w:t>Warunki hydrogeologiczne</w:t>
        </w:r>
        <w:r>
          <w:rPr>
            <w:webHidden/>
          </w:rPr>
          <w:fldChar w:fldCharType="begin"/>
        </w:r>
        <w:r>
          <w:rPr>
            <w:webHidden/>
          </w:rPr>
          <w:instrText>PAGEREF _Toc518331302 \h</w:instrText>
        </w:r>
        <w:r>
          <w:rPr>
            <w:webHidden/>
          </w:rPr>
          <w:fldChar w:fldCharType="separate"/>
        </w:r>
        <w:r>
          <w:rPr>
            <w:rStyle w:val="Czeindeksu"/>
            <w:rFonts w:cs="Arial" w:ascii="Arial" w:hAnsi="Arial"/>
            <w:vanish w:val="false"/>
            <w:sz w:val="20"/>
          </w:rPr>
          <w:tab/>
          <w:t>54</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03">
        <w:r>
          <w:rPr>
            <w:webHidden/>
            <w:rStyle w:val="Czeindeksu"/>
            <w:rFonts w:cs="Arial" w:ascii="Arial" w:hAnsi="Arial"/>
            <w:sz w:val="20"/>
          </w:rPr>
          <w:t>4.4.1</w:t>
        </w:r>
        <w:r>
          <w:rPr>
            <w:rStyle w:val="Czeindeksu"/>
            <w:rFonts w:eastAsia="" w:cs="Arial" w:ascii="Arial" w:hAnsi="Arial" w:eastAsiaTheme="minorEastAsia"/>
            <w:color w:val="00000A"/>
            <w:sz w:val="20"/>
          </w:rPr>
          <w:tab/>
        </w:r>
        <w:r>
          <w:rPr>
            <w:rStyle w:val="Czeindeksu"/>
            <w:rFonts w:cs="Arial" w:ascii="Arial" w:hAnsi="Arial"/>
            <w:sz w:val="20"/>
          </w:rPr>
          <w:t>Jakość wód podziemnych</w:t>
        </w:r>
        <w:r>
          <w:rPr>
            <w:webHidden/>
          </w:rPr>
          <w:fldChar w:fldCharType="begin"/>
        </w:r>
        <w:r>
          <w:rPr>
            <w:webHidden/>
          </w:rPr>
          <w:instrText>PAGEREF _Toc518331303 \h</w:instrText>
        </w:r>
        <w:r>
          <w:rPr>
            <w:webHidden/>
          </w:rPr>
          <w:fldChar w:fldCharType="separate"/>
        </w:r>
        <w:r>
          <w:rPr>
            <w:rStyle w:val="Czeindeksu"/>
            <w:rFonts w:cs="Arial" w:ascii="Arial" w:hAnsi="Arial"/>
            <w:vanish w:val="false"/>
            <w:sz w:val="20"/>
          </w:rPr>
          <w:tab/>
          <w:t>59</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04">
        <w:r>
          <w:rPr>
            <w:webHidden/>
            <w:rStyle w:val="Czeindeksu"/>
            <w:rFonts w:cs="Arial" w:ascii="Arial" w:hAnsi="Arial"/>
            <w:sz w:val="20"/>
          </w:rPr>
          <w:t>4.5</w:t>
        </w:r>
        <w:r>
          <w:rPr>
            <w:rStyle w:val="Czeindeksu"/>
            <w:rFonts w:eastAsia="" w:cs="Arial" w:ascii="Arial" w:hAnsi="Arial" w:eastAsiaTheme="minorEastAsia"/>
            <w:color w:val="00000A"/>
            <w:sz w:val="20"/>
          </w:rPr>
          <w:tab/>
        </w:r>
        <w:r>
          <w:rPr>
            <w:rStyle w:val="Czeindeksu"/>
            <w:rFonts w:cs="Arial" w:ascii="Arial" w:hAnsi="Arial"/>
            <w:sz w:val="20"/>
          </w:rPr>
          <w:t>Hydrografia</w:t>
        </w:r>
        <w:r>
          <w:rPr>
            <w:webHidden/>
          </w:rPr>
          <w:fldChar w:fldCharType="begin"/>
        </w:r>
        <w:r>
          <w:rPr>
            <w:webHidden/>
          </w:rPr>
          <w:instrText>PAGEREF _Toc518331304 \h</w:instrText>
        </w:r>
        <w:r>
          <w:rPr>
            <w:webHidden/>
          </w:rPr>
          <w:fldChar w:fldCharType="separate"/>
        </w:r>
        <w:r>
          <w:rPr>
            <w:rStyle w:val="Czeindeksu"/>
            <w:rFonts w:cs="Arial" w:ascii="Arial" w:hAnsi="Arial"/>
            <w:vanish w:val="false"/>
            <w:sz w:val="20"/>
          </w:rPr>
          <w:tab/>
          <w:t>60</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05">
        <w:r>
          <w:rPr>
            <w:webHidden/>
            <w:rStyle w:val="Czeindeksu"/>
            <w:rFonts w:cs="Arial" w:ascii="Arial" w:hAnsi="Arial"/>
            <w:sz w:val="20"/>
          </w:rPr>
          <w:t>4.5.1</w:t>
        </w:r>
        <w:r>
          <w:rPr>
            <w:rStyle w:val="Czeindeksu"/>
            <w:rFonts w:eastAsia="" w:cs="Arial" w:ascii="Arial" w:hAnsi="Arial" w:eastAsiaTheme="minorEastAsia"/>
            <w:color w:val="00000A"/>
            <w:sz w:val="20"/>
          </w:rPr>
          <w:tab/>
        </w:r>
        <w:r>
          <w:rPr>
            <w:rStyle w:val="Czeindeksu"/>
            <w:rFonts w:cs="Arial" w:ascii="Arial" w:hAnsi="Arial"/>
            <w:sz w:val="20"/>
          </w:rPr>
          <w:t>Zlewnia Soły</w:t>
        </w:r>
        <w:r>
          <w:rPr>
            <w:webHidden/>
          </w:rPr>
          <w:fldChar w:fldCharType="begin"/>
        </w:r>
        <w:r>
          <w:rPr>
            <w:webHidden/>
          </w:rPr>
          <w:instrText>PAGEREF _Toc518331305 \h</w:instrText>
        </w:r>
        <w:r>
          <w:rPr>
            <w:webHidden/>
          </w:rPr>
          <w:fldChar w:fldCharType="separate"/>
        </w:r>
        <w:r>
          <w:rPr>
            <w:rStyle w:val="Czeindeksu"/>
            <w:rFonts w:cs="Arial" w:ascii="Arial" w:hAnsi="Arial"/>
            <w:vanish w:val="false"/>
            <w:sz w:val="20"/>
          </w:rPr>
          <w:tab/>
          <w:t>61</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06">
        <w:r>
          <w:rPr>
            <w:webHidden/>
            <w:rStyle w:val="Czeindeksu"/>
            <w:rFonts w:cs="Arial" w:ascii="Arial" w:hAnsi="Arial"/>
            <w:sz w:val="20"/>
          </w:rPr>
          <w:t>4.5.2</w:t>
        </w:r>
        <w:r>
          <w:rPr>
            <w:rStyle w:val="Czeindeksu"/>
            <w:rFonts w:eastAsia="" w:cs="Arial" w:ascii="Arial" w:hAnsi="Arial" w:eastAsiaTheme="minorEastAsia"/>
            <w:color w:val="00000A"/>
            <w:sz w:val="20"/>
          </w:rPr>
          <w:tab/>
        </w:r>
        <w:r>
          <w:rPr>
            <w:rStyle w:val="Czeindeksu"/>
            <w:rFonts w:cs="Arial" w:ascii="Arial" w:hAnsi="Arial"/>
            <w:sz w:val="20"/>
          </w:rPr>
          <w:t>Status, zagrożenie, formy ochrony przyrody, cele środowiskowe JCWP</w:t>
        </w:r>
        <w:r>
          <w:rPr>
            <w:webHidden/>
          </w:rPr>
          <w:fldChar w:fldCharType="begin"/>
        </w:r>
        <w:r>
          <w:rPr>
            <w:webHidden/>
          </w:rPr>
          <w:instrText>PAGEREF _Toc518331306 \h</w:instrText>
        </w:r>
        <w:r>
          <w:rPr>
            <w:webHidden/>
          </w:rPr>
          <w:fldChar w:fldCharType="separate"/>
        </w:r>
        <w:r>
          <w:rPr>
            <w:rStyle w:val="Czeindeksu"/>
            <w:rFonts w:cs="Arial" w:ascii="Arial" w:hAnsi="Arial"/>
            <w:vanish w:val="false"/>
            <w:sz w:val="20"/>
          </w:rPr>
          <w:tab/>
          <w:t>63</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07">
        <w:r>
          <w:rPr>
            <w:webHidden/>
            <w:rStyle w:val="Czeindeksu"/>
            <w:rFonts w:cs="Arial" w:ascii="Arial" w:hAnsi="Arial"/>
            <w:sz w:val="20"/>
          </w:rPr>
          <w:t>4.5.3</w:t>
        </w:r>
        <w:r>
          <w:rPr>
            <w:rStyle w:val="Czeindeksu"/>
            <w:rFonts w:eastAsia="" w:cs="Arial" w:ascii="Arial" w:hAnsi="Arial" w:eastAsiaTheme="minorEastAsia"/>
            <w:color w:val="00000A"/>
            <w:sz w:val="20"/>
          </w:rPr>
          <w:tab/>
        </w:r>
        <w:r>
          <w:rPr>
            <w:rStyle w:val="Czeindeksu"/>
            <w:rFonts w:cs="Arial" w:ascii="Arial" w:hAnsi="Arial"/>
            <w:sz w:val="20"/>
          </w:rPr>
          <w:t>Jakość wód powierzchniowych</w:t>
        </w:r>
        <w:r>
          <w:rPr>
            <w:webHidden/>
          </w:rPr>
          <w:fldChar w:fldCharType="begin"/>
        </w:r>
        <w:r>
          <w:rPr>
            <w:webHidden/>
          </w:rPr>
          <w:instrText>PAGEREF _Toc518331307 \h</w:instrText>
        </w:r>
        <w:r>
          <w:rPr>
            <w:webHidden/>
          </w:rPr>
          <w:fldChar w:fldCharType="separate"/>
        </w:r>
        <w:r>
          <w:rPr>
            <w:rStyle w:val="Czeindeksu"/>
            <w:rFonts w:cs="Arial" w:ascii="Arial" w:hAnsi="Arial"/>
            <w:vanish w:val="false"/>
            <w:sz w:val="20"/>
          </w:rPr>
          <w:tab/>
          <w:t>64</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08">
        <w:r>
          <w:rPr>
            <w:webHidden/>
            <w:rStyle w:val="Czeindeksu"/>
            <w:rFonts w:cs="Arial" w:ascii="Arial" w:hAnsi="Arial"/>
            <w:sz w:val="20"/>
          </w:rPr>
          <w:t>4.5.4</w:t>
        </w:r>
        <w:r>
          <w:rPr>
            <w:rStyle w:val="Czeindeksu"/>
            <w:rFonts w:eastAsia="" w:cs="Arial" w:ascii="Arial" w:hAnsi="Arial" w:eastAsiaTheme="minorEastAsia"/>
            <w:color w:val="00000A"/>
            <w:sz w:val="20"/>
          </w:rPr>
          <w:tab/>
        </w:r>
        <w:r>
          <w:rPr>
            <w:rStyle w:val="Czeindeksu"/>
            <w:rFonts w:cs="Arial" w:ascii="Arial" w:hAnsi="Arial"/>
            <w:sz w:val="20"/>
          </w:rPr>
          <w:t>Ochrona wód</w:t>
        </w:r>
        <w:r>
          <w:rPr>
            <w:webHidden/>
          </w:rPr>
          <w:fldChar w:fldCharType="begin"/>
        </w:r>
        <w:r>
          <w:rPr>
            <w:webHidden/>
          </w:rPr>
          <w:instrText>PAGEREF _Toc518331308 \h</w:instrText>
        </w:r>
        <w:r>
          <w:rPr>
            <w:webHidden/>
          </w:rPr>
          <w:fldChar w:fldCharType="separate"/>
        </w:r>
        <w:r>
          <w:rPr>
            <w:rStyle w:val="Czeindeksu"/>
            <w:rFonts w:cs="Arial" w:ascii="Arial" w:hAnsi="Arial"/>
            <w:vanish w:val="false"/>
            <w:sz w:val="20"/>
          </w:rPr>
          <w:tab/>
          <w:t>67</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09">
        <w:r>
          <w:rPr>
            <w:webHidden/>
            <w:rStyle w:val="Czeindeksu"/>
            <w:rFonts w:cs="Arial" w:ascii="Arial" w:hAnsi="Arial"/>
            <w:sz w:val="20"/>
          </w:rPr>
          <w:t>4.6</w:t>
        </w:r>
        <w:r>
          <w:rPr>
            <w:rStyle w:val="Czeindeksu"/>
            <w:rFonts w:eastAsia="" w:cs="Arial" w:ascii="Arial" w:hAnsi="Arial" w:eastAsiaTheme="minorEastAsia"/>
            <w:color w:val="00000A"/>
            <w:sz w:val="20"/>
          </w:rPr>
          <w:tab/>
        </w:r>
        <w:r>
          <w:rPr>
            <w:rStyle w:val="Czeindeksu"/>
            <w:rFonts w:cs="Arial" w:ascii="Arial" w:hAnsi="Arial"/>
            <w:sz w:val="20"/>
          </w:rPr>
          <w:t>Roślinność</w:t>
        </w:r>
        <w:r>
          <w:rPr>
            <w:webHidden/>
          </w:rPr>
          <w:fldChar w:fldCharType="begin"/>
        </w:r>
        <w:r>
          <w:rPr>
            <w:webHidden/>
          </w:rPr>
          <w:instrText>PAGEREF _Toc518331309 \h</w:instrText>
        </w:r>
        <w:r>
          <w:rPr>
            <w:webHidden/>
          </w:rPr>
          <w:fldChar w:fldCharType="separate"/>
        </w:r>
        <w:r>
          <w:rPr>
            <w:rStyle w:val="Czeindeksu"/>
            <w:rFonts w:cs="Arial" w:ascii="Arial" w:hAnsi="Arial"/>
            <w:vanish w:val="false"/>
            <w:sz w:val="20"/>
          </w:rPr>
          <w:tab/>
          <w:t>73</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10">
        <w:r>
          <w:rPr>
            <w:webHidden/>
            <w:rStyle w:val="Czeindeksu"/>
            <w:rFonts w:cs="Arial" w:ascii="Arial" w:hAnsi="Arial"/>
            <w:sz w:val="20"/>
          </w:rPr>
          <w:t>4.7</w:t>
        </w:r>
        <w:r>
          <w:rPr>
            <w:rStyle w:val="Czeindeksu"/>
            <w:rFonts w:eastAsia="" w:cs="Arial" w:ascii="Arial" w:hAnsi="Arial" w:eastAsiaTheme="minorEastAsia"/>
            <w:color w:val="00000A"/>
            <w:sz w:val="20"/>
          </w:rPr>
          <w:tab/>
        </w:r>
        <w:r>
          <w:rPr>
            <w:rStyle w:val="Czeindeksu"/>
            <w:rFonts w:cs="Arial" w:ascii="Arial" w:hAnsi="Arial"/>
            <w:sz w:val="20"/>
          </w:rPr>
          <w:t>Fauna</w:t>
        </w:r>
        <w:r>
          <w:rPr>
            <w:webHidden/>
          </w:rPr>
          <w:fldChar w:fldCharType="begin"/>
        </w:r>
        <w:r>
          <w:rPr>
            <w:webHidden/>
          </w:rPr>
          <w:instrText>PAGEREF _Toc518331310 \h</w:instrText>
        </w:r>
        <w:r>
          <w:rPr>
            <w:webHidden/>
          </w:rPr>
          <w:fldChar w:fldCharType="separate"/>
        </w:r>
        <w:r>
          <w:rPr>
            <w:rStyle w:val="Czeindeksu"/>
            <w:rFonts w:cs="Arial" w:ascii="Arial" w:hAnsi="Arial"/>
            <w:vanish w:val="false"/>
            <w:sz w:val="20"/>
          </w:rPr>
          <w:tab/>
          <w:t>74</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11">
        <w:r>
          <w:rPr>
            <w:webHidden/>
            <w:rStyle w:val="Czeindeksu"/>
            <w:rFonts w:cs="Arial" w:ascii="Arial" w:hAnsi="Arial"/>
            <w:sz w:val="20"/>
          </w:rPr>
          <w:t>4.8</w:t>
        </w:r>
        <w:r>
          <w:rPr>
            <w:rStyle w:val="Czeindeksu"/>
            <w:rFonts w:eastAsia="" w:cs="Arial" w:ascii="Arial" w:hAnsi="Arial" w:eastAsiaTheme="minorEastAsia"/>
            <w:color w:val="00000A"/>
            <w:sz w:val="20"/>
          </w:rPr>
          <w:tab/>
        </w:r>
        <w:r>
          <w:rPr>
            <w:rStyle w:val="Czeindeksu"/>
            <w:rFonts w:cs="Arial" w:ascii="Arial" w:hAnsi="Arial"/>
            <w:sz w:val="20"/>
          </w:rPr>
          <w:t>Obszary i obiekty chronione na podstawie przepisów o ochronie przyrody</w:t>
        </w:r>
        <w:r>
          <w:rPr>
            <w:webHidden/>
          </w:rPr>
          <w:fldChar w:fldCharType="begin"/>
        </w:r>
        <w:r>
          <w:rPr>
            <w:webHidden/>
          </w:rPr>
          <w:instrText>PAGEREF _Toc518331311 \h</w:instrText>
        </w:r>
        <w:r>
          <w:rPr>
            <w:webHidden/>
          </w:rPr>
          <w:fldChar w:fldCharType="separate"/>
        </w:r>
        <w:r>
          <w:rPr>
            <w:rStyle w:val="Czeindeksu"/>
            <w:rFonts w:cs="Arial" w:ascii="Arial" w:hAnsi="Arial"/>
            <w:vanish w:val="false"/>
            <w:sz w:val="20"/>
          </w:rPr>
          <w:tab/>
          <w:t>74</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12">
        <w:r>
          <w:rPr>
            <w:webHidden/>
            <w:rStyle w:val="Czeindeksu"/>
            <w:rFonts w:cs="Arial" w:ascii="Arial" w:hAnsi="Arial"/>
            <w:sz w:val="20"/>
          </w:rPr>
          <w:t>4.8.1</w:t>
        </w:r>
        <w:r>
          <w:rPr>
            <w:rStyle w:val="Czeindeksu"/>
            <w:rFonts w:eastAsia="" w:cs="Arial" w:ascii="Arial" w:hAnsi="Arial" w:eastAsiaTheme="minorEastAsia"/>
            <w:color w:val="00000A"/>
            <w:sz w:val="20"/>
          </w:rPr>
          <w:tab/>
        </w:r>
        <w:r>
          <w:rPr>
            <w:rStyle w:val="Czeindeksu"/>
            <w:rFonts w:cs="Arial" w:ascii="Arial" w:hAnsi="Arial"/>
            <w:sz w:val="20"/>
          </w:rPr>
          <w:t>Sieć obszarów Natura 2000</w:t>
        </w:r>
        <w:r>
          <w:rPr>
            <w:webHidden/>
          </w:rPr>
          <w:fldChar w:fldCharType="begin"/>
        </w:r>
        <w:r>
          <w:rPr>
            <w:webHidden/>
          </w:rPr>
          <w:instrText>PAGEREF _Toc518331312 \h</w:instrText>
        </w:r>
        <w:r>
          <w:rPr>
            <w:webHidden/>
          </w:rPr>
          <w:fldChar w:fldCharType="separate"/>
        </w:r>
        <w:r>
          <w:rPr>
            <w:rStyle w:val="Czeindeksu"/>
            <w:rFonts w:cs="Arial" w:ascii="Arial" w:hAnsi="Arial"/>
            <w:vanish w:val="false"/>
            <w:sz w:val="20"/>
          </w:rPr>
          <w:tab/>
          <w:t>74</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13">
        <w:r>
          <w:rPr>
            <w:webHidden/>
            <w:rStyle w:val="Czeindeksu"/>
            <w:rFonts w:cs="Arial" w:ascii="Arial" w:hAnsi="Arial"/>
            <w:sz w:val="20"/>
          </w:rPr>
          <w:t>4.8.2</w:t>
        </w:r>
        <w:r>
          <w:rPr>
            <w:rStyle w:val="Czeindeksu"/>
            <w:rFonts w:eastAsia="" w:cs="Arial" w:ascii="Arial" w:hAnsi="Arial" w:eastAsiaTheme="minorEastAsia"/>
            <w:color w:val="00000A"/>
            <w:sz w:val="20"/>
          </w:rPr>
          <w:tab/>
        </w:r>
        <w:r>
          <w:rPr>
            <w:rStyle w:val="Czeindeksu"/>
            <w:rFonts w:cs="Arial" w:ascii="Arial" w:hAnsi="Arial"/>
            <w:sz w:val="20"/>
          </w:rPr>
          <w:t>Parki krajobrazowe</w:t>
        </w:r>
        <w:r>
          <w:rPr>
            <w:webHidden/>
          </w:rPr>
          <w:fldChar w:fldCharType="begin"/>
        </w:r>
        <w:r>
          <w:rPr>
            <w:webHidden/>
          </w:rPr>
          <w:instrText>PAGEREF _Toc518331313 \h</w:instrText>
        </w:r>
        <w:r>
          <w:rPr>
            <w:webHidden/>
          </w:rPr>
          <w:fldChar w:fldCharType="separate"/>
        </w:r>
        <w:r>
          <w:rPr>
            <w:rStyle w:val="Czeindeksu"/>
            <w:rFonts w:cs="Arial" w:ascii="Arial" w:hAnsi="Arial"/>
            <w:vanish w:val="false"/>
            <w:sz w:val="20"/>
          </w:rPr>
          <w:tab/>
          <w:t>75</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14">
        <w:r>
          <w:rPr>
            <w:webHidden/>
            <w:rStyle w:val="Czeindeksu"/>
            <w:rFonts w:cs="Arial" w:ascii="Arial" w:hAnsi="Arial"/>
            <w:sz w:val="20"/>
          </w:rPr>
          <w:t>4.8.3</w:t>
        </w:r>
        <w:r>
          <w:rPr>
            <w:rStyle w:val="Czeindeksu"/>
            <w:rFonts w:eastAsia="" w:cs="Arial" w:ascii="Arial" w:hAnsi="Arial" w:eastAsiaTheme="minorEastAsia"/>
            <w:color w:val="00000A"/>
            <w:sz w:val="20"/>
          </w:rPr>
          <w:tab/>
        </w:r>
        <w:r>
          <w:rPr>
            <w:rStyle w:val="Czeindeksu"/>
            <w:rFonts w:cs="Arial" w:ascii="Arial" w:hAnsi="Arial"/>
            <w:sz w:val="20"/>
          </w:rPr>
          <w:t>Rezerwat przyrody</w:t>
        </w:r>
        <w:r>
          <w:rPr>
            <w:webHidden/>
          </w:rPr>
          <w:fldChar w:fldCharType="begin"/>
        </w:r>
        <w:r>
          <w:rPr>
            <w:webHidden/>
          </w:rPr>
          <w:instrText>PAGEREF _Toc518331314 \h</w:instrText>
        </w:r>
        <w:r>
          <w:rPr>
            <w:webHidden/>
          </w:rPr>
          <w:fldChar w:fldCharType="separate"/>
        </w:r>
        <w:r>
          <w:rPr>
            <w:rStyle w:val="Czeindeksu"/>
            <w:rFonts w:cs="Arial" w:ascii="Arial" w:hAnsi="Arial"/>
            <w:vanish w:val="false"/>
            <w:sz w:val="20"/>
          </w:rPr>
          <w:tab/>
          <w:t>76</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15">
        <w:r>
          <w:rPr>
            <w:webHidden/>
            <w:rStyle w:val="Czeindeksu"/>
            <w:rFonts w:cs="Arial" w:ascii="Arial" w:hAnsi="Arial"/>
            <w:sz w:val="20"/>
          </w:rPr>
          <w:t>4.8.4</w:t>
        </w:r>
        <w:r>
          <w:rPr>
            <w:rStyle w:val="Czeindeksu"/>
            <w:rFonts w:eastAsia="" w:cs="Arial" w:ascii="Arial" w:hAnsi="Arial" w:eastAsiaTheme="minorEastAsia"/>
            <w:color w:val="00000A"/>
            <w:sz w:val="20"/>
          </w:rPr>
          <w:tab/>
        </w:r>
        <w:r>
          <w:rPr>
            <w:rStyle w:val="Czeindeksu"/>
            <w:rFonts w:cs="Arial" w:ascii="Arial" w:hAnsi="Arial"/>
            <w:sz w:val="20"/>
          </w:rPr>
          <w:t>Pomniki przyrody</w:t>
        </w:r>
        <w:r>
          <w:rPr>
            <w:webHidden/>
          </w:rPr>
          <w:fldChar w:fldCharType="begin"/>
        </w:r>
        <w:r>
          <w:rPr>
            <w:webHidden/>
          </w:rPr>
          <w:instrText>PAGEREF _Toc518331315 \h</w:instrText>
        </w:r>
        <w:r>
          <w:rPr>
            <w:webHidden/>
          </w:rPr>
          <w:fldChar w:fldCharType="separate"/>
        </w:r>
        <w:r>
          <w:rPr>
            <w:rStyle w:val="Czeindeksu"/>
            <w:rFonts w:cs="Arial" w:ascii="Arial" w:hAnsi="Arial"/>
            <w:vanish w:val="false"/>
            <w:sz w:val="20"/>
          </w:rPr>
          <w:tab/>
          <w:t>77</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16">
        <w:r>
          <w:rPr>
            <w:webHidden/>
            <w:rStyle w:val="Czeindeksu"/>
            <w:rFonts w:cs="Arial" w:ascii="Arial" w:hAnsi="Arial"/>
            <w:sz w:val="20"/>
          </w:rPr>
          <w:t>4.8.5</w:t>
        </w:r>
        <w:r>
          <w:rPr>
            <w:rStyle w:val="Czeindeksu"/>
            <w:rFonts w:eastAsia="" w:cs="Arial" w:ascii="Arial" w:hAnsi="Arial" w:eastAsiaTheme="minorEastAsia"/>
            <w:color w:val="00000A"/>
            <w:sz w:val="20"/>
          </w:rPr>
          <w:tab/>
        </w:r>
        <w:r>
          <w:rPr>
            <w:rStyle w:val="Czeindeksu"/>
            <w:rFonts w:cs="Arial" w:ascii="Arial" w:hAnsi="Arial"/>
            <w:sz w:val="20"/>
          </w:rPr>
          <w:t>Inne formy ochrony</w:t>
        </w:r>
        <w:r>
          <w:rPr>
            <w:webHidden/>
          </w:rPr>
          <w:fldChar w:fldCharType="begin"/>
        </w:r>
        <w:r>
          <w:rPr>
            <w:webHidden/>
          </w:rPr>
          <w:instrText>PAGEREF _Toc518331316 \h</w:instrText>
        </w:r>
        <w:r>
          <w:rPr>
            <w:webHidden/>
          </w:rPr>
          <w:fldChar w:fldCharType="separate"/>
        </w:r>
        <w:r>
          <w:rPr>
            <w:rStyle w:val="Czeindeksu"/>
            <w:rFonts w:cs="Arial" w:ascii="Arial" w:hAnsi="Arial"/>
            <w:vanish w:val="false"/>
            <w:sz w:val="20"/>
          </w:rPr>
          <w:tab/>
          <w:t>77</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17">
        <w:r>
          <w:rPr>
            <w:webHidden/>
            <w:rStyle w:val="Czeindeksu"/>
            <w:rFonts w:cs="Arial" w:ascii="Arial" w:hAnsi="Arial"/>
            <w:sz w:val="20"/>
          </w:rPr>
          <w:t>4.9</w:t>
        </w:r>
        <w:r>
          <w:rPr>
            <w:rStyle w:val="Czeindeksu"/>
            <w:rFonts w:eastAsia="" w:cs="Arial" w:ascii="Arial" w:hAnsi="Arial" w:eastAsiaTheme="minorEastAsia"/>
            <w:color w:val="00000A"/>
            <w:sz w:val="20"/>
          </w:rPr>
          <w:tab/>
        </w:r>
        <w:r>
          <w:rPr>
            <w:rStyle w:val="Czeindeksu"/>
            <w:rFonts w:cs="Arial" w:ascii="Arial" w:hAnsi="Arial"/>
            <w:sz w:val="20"/>
          </w:rPr>
          <w:t>Korytarze ekologiczne</w:t>
        </w:r>
        <w:r>
          <w:rPr>
            <w:webHidden/>
          </w:rPr>
          <w:fldChar w:fldCharType="begin"/>
        </w:r>
        <w:r>
          <w:rPr>
            <w:webHidden/>
          </w:rPr>
          <w:instrText>PAGEREF _Toc518331317 \h</w:instrText>
        </w:r>
        <w:r>
          <w:rPr>
            <w:webHidden/>
          </w:rPr>
          <w:fldChar w:fldCharType="separate"/>
        </w:r>
        <w:r>
          <w:rPr>
            <w:rStyle w:val="Czeindeksu"/>
            <w:rFonts w:cs="Arial" w:ascii="Arial" w:hAnsi="Arial"/>
            <w:vanish w:val="false"/>
            <w:sz w:val="20"/>
          </w:rPr>
          <w:tab/>
          <w:t>77</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18">
        <w:r>
          <w:rPr>
            <w:webHidden/>
            <w:rStyle w:val="Czeindeksu"/>
            <w:rFonts w:cs="Arial" w:ascii="Arial" w:hAnsi="Arial"/>
            <w:sz w:val="20"/>
          </w:rPr>
          <w:t>4.10</w:t>
        </w:r>
        <w:r>
          <w:rPr>
            <w:rStyle w:val="Czeindeksu"/>
            <w:rFonts w:eastAsia="" w:cs="Arial" w:ascii="Arial" w:hAnsi="Arial" w:eastAsiaTheme="minorEastAsia"/>
            <w:color w:val="00000A"/>
            <w:sz w:val="20"/>
          </w:rPr>
          <w:tab/>
        </w:r>
        <w:r>
          <w:rPr>
            <w:rStyle w:val="Czeindeksu"/>
            <w:rFonts w:cs="Arial" w:ascii="Arial" w:hAnsi="Arial"/>
            <w:sz w:val="20"/>
          </w:rPr>
          <w:t>Warunki klimatyczne</w:t>
        </w:r>
        <w:r>
          <w:rPr>
            <w:webHidden/>
          </w:rPr>
          <w:fldChar w:fldCharType="begin"/>
        </w:r>
        <w:r>
          <w:rPr>
            <w:webHidden/>
          </w:rPr>
          <w:instrText>PAGEREF _Toc518331318 \h</w:instrText>
        </w:r>
        <w:r>
          <w:rPr>
            <w:webHidden/>
          </w:rPr>
          <w:fldChar w:fldCharType="separate"/>
        </w:r>
        <w:r>
          <w:rPr>
            <w:rStyle w:val="Czeindeksu"/>
            <w:rFonts w:cs="Arial" w:ascii="Arial" w:hAnsi="Arial"/>
            <w:vanish w:val="false"/>
            <w:sz w:val="20"/>
          </w:rPr>
          <w:tab/>
          <w:t>80</w:t>
        </w:r>
        <w:r>
          <w:rPr>
            <w:webHidden/>
          </w:rPr>
          <w:fldChar w:fldCharType="end"/>
        </w:r>
      </w:hyperlink>
    </w:p>
    <w:p>
      <w:pPr>
        <w:pStyle w:val="Spistreci1"/>
        <w:rPr>
          <w:rFonts w:eastAsia="" w:eastAsiaTheme="minorEastAsia"/>
        </w:rPr>
      </w:pPr>
      <w:hyperlink w:anchor="_Toc518331319">
        <w:r>
          <w:rPr>
            <w:webHidden/>
            <w:rStyle w:val="Czeindeksu"/>
          </w:rPr>
          <w:t>5</w:t>
        </w:r>
        <w:r>
          <w:rPr>
            <w:rStyle w:val="Czeindeksu"/>
            <w:rFonts w:eastAsia="" w:eastAsiaTheme="minorEastAsia"/>
          </w:rPr>
          <w:tab/>
        </w:r>
        <w:r>
          <w:rPr>
            <w:rStyle w:val="Czeindeksu"/>
          </w:rPr>
          <w:t>WYNIKI INWENTARYZACJI PRZYRODNICZEJ, JEŻELI ZOSTAŁA PRZEPROWADZONA, WRAZ Z OPISEM ZASTOSOWANEJ METODYKI</w:t>
        </w:r>
        <w:r>
          <w:rPr>
            <w:webHidden/>
          </w:rPr>
          <w:fldChar w:fldCharType="begin"/>
        </w:r>
        <w:r>
          <w:rPr>
            <w:webHidden/>
          </w:rPr>
          <w:instrText>PAGEREF _Toc518331319 \h</w:instrText>
        </w:r>
        <w:r>
          <w:rPr>
            <w:webHidden/>
          </w:rPr>
          <w:fldChar w:fldCharType="separate"/>
        </w:r>
        <w:r>
          <w:rPr>
            <w:rStyle w:val="Czeindeksu"/>
            <w:vanish w:val="false"/>
          </w:rPr>
          <w:tab/>
          <w:t>86</w:t>
        </w:r>
        <w:r>
          <w:rPr>
            <w:webHidden/>
          </w:rPr>
          <w:fldChar w:fldCharType="end"/>
        </w:r>
      </w:hyperlink>
    </w:p>
    <w:p>
      <w:pPr>
        <w:pStyle w:val="Spistreci1"/>
        <w:rPr>
          <w:rFonts w:eastAsia="" w:eastAsiaTheme="minorEastAsia"/>
        </w:rPr>
      </w:pPr>
      <w:hyperlink w:anchor="_Toc518331320">
        <w:r>
          <w:rPr>
            <w:webHidden/>
            <w:rStyle w:val="Czeindeksu"/>
          </w:rPr>
          <w:t>6</w:t>
        </w:r>
        <w:r>
          <w:rPr>
            <w:rStyle w:val="Czeindeksu"/>
            <w:rFonts w:eastAsia="" w:eastAsiaTheme="minorEastAsia"/>
          </w:rPr>
          <w:tab/>
        </w:r>
        <w:r>
          <w:rPr>
            <w:rStyle w:val="Czeindeksu"/>
          </w:rPr>
          <w:t>OPIS KRAJOBRAZU, W KTÓRYM DANE PRZEDSIĘWZIĘCIE MA BYĆ ZLOKALIZOWANE</w:t>
        </w:r>
        <w:r>
          <w:rPr>
            <w:webHidden/>
          </w:rPr>
          <w:fldChar w:fldCharType="begin"/>
        </w:r>
        <w:r>
          <w:rPr>
            <w:webHidden/>
          </w:rPr>
          <w:instrText>PAGEREF _Toc518331320 \h</w:instrText>
        </w:r>
        <w:r>
          <w:rPr>
            <w:webHidden/>
          </w:rPr>
          <w:fldChar w:fldCharType="separate"/>
        </w:r>
        <w:r>
          <w:rPr>
            <w:rStyle w:val="Czeindeksu"/>
            <w:vanish w:val="false"/>
          </w:rPr>
          <w:tab/>
          <w:t>86</w:t>
        </w:r>
        <w:r>
          <w:rPr>
            <w:webHidden/>
          </w:rPr>
          <w:fldChar w:fldCharType="end"/>
        </w:r>
      </w:hyperlink>
    </w:p>
    <w:p>
      <w:pPr>
        <w:pStyle w:val="Spistreci1"/>
        <w:rPr>
          <w:rFonts w:eastAsia="" w:eastAsiaTheme="minorEastAsia"/>
        </w:rPr>
      </w:pPr>
      <w:hyperlink w:anchor="_Toc518331321">
        <w:r>
          <w:rPr>
            <w:webHidden/>
            <w:rStyle w:val="Czeindeksu"/>
          </w:rPr>
          <w:t>7</w:t>
        </w:r>
        <w:r>
          <w:rPr>
            <w:rStyle w:val="Czeindeksu"/>
            <w:rFonts w:eastAsia="" w:eastAsiaTheme="minorEastAsia"/>
          </w:rPr>
          <w:tab/>
        </w:r>
        <w:r>
          <w:rPr>
            <w:rStyle w:val="Czeindeksu"/>
          </w:rPr>
          <w:t>INFORMACJE NA TEMAT POWIĄZAŃ Z INNYMI PRZEDSIĘWZIĘCIAMI,  W SZCZEGÓLNOŚCI KUMULOWANIA SIĘ ODDZIAŁYWAŃ PRZEDSIĘWZIĘĆ REALIZOWANYCH, ZREALIZOWANYCH LUB PLANOWANYCH, DLA KTÓRYCH WYDANO DECYZJĘ O ŚRODOWISKOWYCH UWARUNKOWANIACH</w:t>
        </w:r>
        <w:r>
          <w:rPr>
            <w:webHidden/>
          </w:rPr>
          <w:fldChar w:fldCharType="begin"/>
        </w:r>
        <w:r>
          <w:rPr>
            <w:webHidden/>
          </w:rPr>
          <w:instrText>PAGEREF _Toc518331321 \h</w:instrText>
        </w:r>
        <w:r>
          <w:rPr>
            <w:webHidden/>
          </w:rPr>
          <w:fldChar w:fldCharType="separate"/>
        </w:r>
        <w:r>
          <w:rPr>
            <w:rStyle w:val="Czeindeksu"/>
            <w:vanish w:val="false"/>
          </w:rPr>
          <w:tab/>
          <w:t>87</w:t>
        </w:r>
        <w:r>
          <w:rPr>
            <w:webHidden/>
          </w:rPr>
          <w:fldChar w:fldCharType="end"/>
        </w:r>
      </w:hyperlink>
    </w:p>
    <w:p>
      <w:pPr>
        <w:pStyle w:val="Spistreci1"/>
        <w:rPr>
          <w:rFonts w:eastAsia="" w:eastAsiaTheme="minorEastAsia"/>
        </w:rPr>
      </w:pPr>
      <w:hyperlink w:anchor="_Toc518331322">
        <w:r>
          <w:rPr>
            <w:webHidden/>
            <w:rStyle w:val="Czeindeksu"/>
          </w:rPr>
          <w:t>8</w:t>
        </w:r>
        <w:r>
          <w:rPr>
            <w:rStyle w:val="Czeindeksu"/>
            <w:rFonts w:eastAsia="" w:eastAsiaTheme="minorEastAsia"/>
          </w:rPr>
          <w:tab/>
        </w:r>
        <w:r>
          <w:rPr>
            <w:rStyle w:val="Czeindeksu"/>
          </w:rPr>
          <w:t>OPIS ISTNIEJĄCYCH W SĄSIEDZTWIE LUB W BEZPOŚREDNIM ZASIĘGU ODDZIAŁYWANIA PLANOWANEGO PRZEDSIĘWZIĘCIA ZABYTKÓW CHRONIONYCH NA PODSTAWIE PRZEPISÓW O OCHRONIE ZABYTKÓW I OPIECE NAD ZABYTKAMI</w:t>
        </w:r>
        <w:r>
          <w:rPr>
            <w:webHidden/>
          </w:rPr>
          <w:fldChar w:fldCharType="begin"/>
        </w:r>
        <w:r>
          <w:rPr>
            <w:webHidden/>
          </w:rPr>
          <w:instrText>PAGEREF _Toc518331322 \h</w:instrText>
        </w:r>
        <w:r>
          <w:rPr>
            <w:webHidden/>
          </w:rPr>
          <w:fldChar w:fldCharType="separate"/>
        </w:r>
        <w:r>
          <w:rPr>
            <w:rStyle w:val="Czeindeksu"/>
            <w:vanish w:val="false"/>
          </w:rPr>
          <w:tab/>
          <w:t>87</w:t>
        </w:r>
        <w:r>
          <w:rPr>
            <w:webHidden/>
          </w:rPr>
          <w:fldChar w:fldCharType="end"/>
        </w:r>
      </w:hyperlink>
    </w:p>
    <w:p>
      <w:pPr>
        <w:pStyle w:val="Spistreci1"/>
        <w:rPr>
          <w:rFonts w:eastAsia="" w:eastAsiaTheme="minorEastAsia"/>
        </w:rPr>
      </w:pPr>
      <w:hyperlink w:anchor="_Toc518331323">
        <w:r>
          <w:rPr>
            <w:webHidden/>
            <w:rStyle w:val="Czeindeksu"/>
          </w:rPr>
          <w:t>9</w:t>
        </w:r>
        <w:r>
          <w:rPr>
            <w:rStyle w:val="Czeindeksu"/>
            <w:rFonts w:eastAsia="" w:eastAsiaTheme="minorEastAsia"/>
          </w:rPr>
          <w:tab/>
        </w:r>
        <w:r>
          <w:rPr>
            <w:rStyle w:val="Czeindeksu"/>
          </w:rPr>
          <w:t>OPIS PRZEWIDYWANYCH SKUTKÓW DLA ŚRODOWISKA W PRZYPADKU NIEPODEJMOWANIA PRZEDSIĘWZIĘCIA</w:t>
        </w:r>
        <w:r>
          <w:rPr>
            <w:webHidden/>
          </w:rPr>
          <w:fldChar w:fldCharType="begin"/>
        </w:r>
        <w:r>
          <w:rPr>
            <w:webHidden/>
          </w:rPr>
          <w:instrText>PAGEREF _Toc518331323 \h</w:instrText>
        </w:r>
        <w:r>
          <w:rPr>
            <w:webHidden/>
          </w:rPr>
          <w:fldChar w:fldCharType="separate"/>
        </w:r>
        <w:r>
          <w:rPr>
            <w:rStyle w:val="Czeindeksu"/>
            <w:vanish w:val="false"/>
          </w:rPr>
          <w:tab/>
          <w:t>87</w:t>
        </w:r>
        <w:r>
          <w:rPr>
            <w:webHidden/>
          </w:rPr>
          <w:fldChar w:fldCharType="end"/>
        </w:r>
      </w:hyperlink>
    </w:p>
    <w:p>
      <w:pPr>
        <w:pStyle w:val="Spistreci1"/>
        <w:rPr>
          <w:rFonts w:eastAsia="" w:eastAsiaTheme="minorEastAsia"/>
        </w:rPr>
      </w:pPr>
      <w:hyperlink w:anchor="_Toc518331324">
        <w:r>
          <w:rPr>
            <w:webHidden/>
            <w:rStyle w:val="Czeindeksu"/>
          </w:rPr>
          <w:t>10</w:t>
        </w:r>
        <w:r>
          <w:rPr>
            <w:rStyle w:val="Czeindeksu"/>
            <w:rFonts w:eastAsia="" w:eastAsiaTheme="minorEastAsia"/>
          </w:rPr>
          <w:tab/>
        </w:r>
        <w:r>
          <w:rPr>
            <w:rStyle w:val="Czeindeksu"/>
          </w:rPr>
          <w:t>OPIS ANALIZOWANYCH WARIANTÓW PRZEDSIĘWZIĘCIA WRAZ Z UZASADNIENIEM ICH WYBORU</w:t>
        </w:r>
        <w:r>
          <w:rPr>
            <w:webHidden/>
          </w:rPr>
          <w:fldChar w:fldCharType="begin"/>
        </w:r>
        <w:r>
          <w:rPr>
            <w:webHidden/>
          </w:rPr>
          <w:instrText>PAGEREF _Toc518331324 \h</w:instrText>
        </w:r>
        <w:r>
          <w:rPr>
            <w:webHidden/>
          </w:rPr>
          <w:fldChar w:fldCharType="separate"/>
        </w:r>
        <w:r>
          <w:rPr>
            <w:rStyle w:val="Czeindeksu"/>
            <w:vanish w:val="false"/>
          </w:rPr>
          <w:tab/>
          <w:t>88</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25">
        <w:r>
          <w:rPr>
            <w:webHidden/>
            <w:rStyle w:val="Czeindeksu"/>
            <w:rFonts w:cs="Arial" w:ascii="Arial" w:hAnsi="Arial"/>
            <w:sz w:val="20"/>
          </w:rPr>
          <w:t>10.1</w:t>
        </w:r>
        <w:r>
          <w:rPr>
            <w:rStyle w:val="Czeindeksu"/>
            <w:rFonts w:eastAsia="" w:cs="Arial" w:ascii="Arial" w:hAnsi="Arial" w:eastAsiaTheme="minorEastAsia"/>
            <w:color w:val="00000A"/>
            <w:sz w:val="20"/>
          </w:rPr>
          <w:tab/>
        </w:r>
        <w:r>
          <w:rPr>
            <w:rStyle w:val="Czeindeksu"/>
            <w:rFonts w:cs="Arial" w:ascii="Arial" w:hAnsi="Arial"/>
            <w:sz w:val="20"/>
          </w:rPr>
          <w:t>Wariant proponowany przez wnioskodawcę oraz racjonalny wariant alternatywny</w:t>
        </w:r>
        <w:r>
          <w:rPr>
            <w:webHidden/>
          </w:rPr>
          <w:fldChar w:fldCharType="begin"/>
        </w:r>
        <w:r>
          <w:rPr>
            <w:webHidden/>
          </w:rPr>
          <w:instrText>PAGEREF _Toc518331325 \h</w:instrText>
        </w:r>
        <w:r>
          <w:rPr>
            <w:webHidden/>
          </w:rPr>
          <w:fldChar w:fldCharType="separate"/>
        </w:r>
        <w:r>
          <w:rPr>
            <w:rStyle w:val="Czeindeksu"/>
            <w:rFonts w:cs="Arial" w:ascii="Arial" w:hAnsi="Arial"/>
            <w:vanish w:val="false"/>
            <w:sz w:val="20"/>
          </w:rPr>
          <w:tab/>
          <w:t>88</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26">
        <w:r>
          <w:rPr>
            <w:webHidden/>
            <w:rStyle w:val="Czeindeksu"/>
            <w:rFonts w:cs="Arial" w:ascii="Arial" w:hAnsi="Arial"/>
            <w:sz w:val="20"/>
          </w:rPr>
          <w:t>10.1.1</w:t>
        </w:r>
        <w:r>
          <w:rPr>
            <w:rStyle w:val="Czeindeksu"/>
            <w:rFonts w:eastAsia="" w:cs="Arial" w:ascii="Arial" w:hAnsi="Arial" w:eastAsiaTheme="minorEastAsia"/>
            <w:color w:val="00000A"/>
            <w:sz w:val="20"/>
          </w:rPr>
          <w:tab/>
        </w:r>
        <w:r>
          <w:rPr>
            <w:rStyle w:val="Czeindeksu"/>
            <w:rFonts w:cs="Arial" w:ascii="Arial" w:hAnsi="Arial"/>
            <w:sz w:val="20"/>
          </w:rPr>
          <w:t>Wariantu proponowany przez Wnioskodawcę (wariant 1)</w:t>
        </w:r>
        <w:r>
          <w:rPr>
            <w:webHidden/>
          </w:rPr>
          <w:fldChar w:fldCharType="begin"/>
        </w:r>
        <w:r>
          <w:rPr>
            <w:webHidden/>
          </w:rPr>
          <w:instrText>PAGEREF _Toc518331326 \h</w:instrText>
        </w:r>
        <w:r>
          <w:rPr>
            <w:webHidden/>
          </w:rPr>
          <w:fldChar w:fldCharType="separate"/>
        </w:r>
        <w:r>
          <w:rPr>
            <w:rStyle w:val="Czeindeksu"/>
            <w:rFonts w:cs="Arial" w:ascii="Arial" w:hAnsi="Arial"/>
            <w:vanish w:val="false"/>
            <w:sz w:val="20"/>
          </w:rPr>
          <w:tab/>
          <w:t>89</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27">
        <w:r>
          <w:rPr>
            <w:webHidden/>
            <w:rStyle w:val="Czeindeksu"/>
            <w:rFonts w:cs="Arial" w:ascii="Arial" w:hAnsi="Arial"/>
            <w:sz w:val="20"/>
          </w:rPr>
          <w:t>10.1.2</w:t>
        </w:r>
        <w:r>
          <w:rPr>
            <w:rStyle w:val="Czeindeksu"/>
            <w:rFonts w:eastAsia="" w:cs="Arial" w:ascii="Arial" w:hAnsi="Arial" w:eastAsiaTheme="minorEastAsia"/>
            <w:color w:val="00000A"/>
            <w:sz w:val="20"/>
          </w:rPr>
          <w:tab/>
        </w:r>
        <w:r>
          <w:rPr>
            <w:rStyle w:val="Czeindeksu"/>
            <w:rFonts w:cs="Arial" w:ascii="Arial" w:hAnsi="Arial"/>
            <w:sz w:val="20"/>
          </w:rPr>
          <w:t>Racjonalny wariant alternatywny (wariant 2)</w:t>
        </w:r>
        <w:r>
          <w:rPr>
            <w:webHidden/>
          </w:rPr>
          <w:fldChar w:fldCharType="begin"/>
        </w:r>
        <w:r>
          <w:rPr>
            <w:webHidden/>
          </w:rPr>
          <w:instrText>PAGEREF _Toc518331327 \h</w:instrText>
        </w:r>
        <w:r>
          <w:rPr>
            <w:webHidden/>
          </w:rPr>
          <w:fldChar w:fldCharType="separate"/>
        </w:r>
        <w:r>
          <w:rPr>
            <w:rStyle w:val="Czeindeksu"/>
            <w:rFonts w:cs="Arial" w:ascii="Arial" w:hAnsi="Arial"/>
            <w:vanish w:val="false"/>
            <w:sz w:val="20"/>
          </w:rPr>
          <w:tab/>
          <w:t>89</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28">
        <w:r>
          <w:rPr>
            <w:webHidden/>
            <w:rStyle w:val="Czeindeksu"/>
            <w:rFonts w:cs="Arial" w:ascii="Arial" w:hAnsi="Arial"/>
            <w:sz w:val="20"/>
          </w:rPr>
          <w:t>10.2</w:t>
        </w:r>
        <w:r>
          <w:rPr>
            <w:rStyle w:val="Czeindeksu"/>
            <w:rFonts w:eastAsia="" w:cs="Arial" w:ascii="Arial" w:hAnsi="Arial" w:eastAsiaTheme="minorEastAsia"/>
            <w:color w:val="00000A"/>
            <w:sz w:val="20"/>
          </w:rPr>
          <w:tab/>
        </w:r>
        <w:r>
          <w:rPr>
            <w:rStyle w:val="Czeindeksu"/>
            <w:rFonts w:cs="Arial" w:ascii="Arial" w:hAnsi="Arial"/>
            <w:sz w:val="20"/>
          </w:rPr>
          <w:t>Wariant najkorzystniejszy dla środowiska</w:t>
        </w:r>
        <w:r>
          <w:rPr>
            <w:webHidden/>
          </w:rPr>
          <w:fldChar w:fldCharType="begin"/>
        </w:r>
        <w:r>
          <w:rPr>
            <w:webHidden/>
          </w:rPr>
          <w:instrText>PAGEREF _Toc518331328 \h</w:instrText>
        </w:r>
        <w:r>
          <w:rPr>
            <w:webHidden/>
          </w:rPr>
          <w:fldChar w:fldCharType="separate"/>
        </w:r>
        <w:r>
          <w:rPr>
            <w:rStyle w:val="Czeindeksu"/>
            <w:rFonts w:cs="Arial" w:ascii="Arial" w:hAnsi="Arial"/>
            <w:vanish w:val="false"/>
            <w:sz w:val="20"/>
          </w:rPr>
          <w:tab/>
          <w:t>91</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29">
        <w:r>
          <w:rPr>
            <w:webHidden/>
            <w:rStyle w:val="Czeindeksu"/>
            <w:rFonts w:cs="Arial" w:ascii="Arial" w:hAnsi="Arial"/>
            <w:sz w:val="20"/>
          </w:rPr>
          <w:t>10.2.1</w:t>
        </w:r>
        <w:r>
          <w:rPr>
            <w:rStyle w:val="Czeindeksu"/>
            <w:rFonts w:eastAsia="" w:cs="Arial" w:ascii="Arial" w:hAnsi="Arial" w:eastAsiaTheme="minorEastAsia"/>
            <w:color w:val="00000A"/>
            <w:sz w:val="20"/>
          </w:rPr>
          <w:tab/>
        </w:r>
        <w:r>
          <w:rPr>
            <w:rStyle w:val="Czeindeksu"/>
            <w:rFonts w:cs="Arial" w:ascii="Arial" w:hAnsi="Arial"/>
            <w:sz w:val="20"/>
          </w:rPr>
          <w:t>Metodyka wyboru wariantu</w:t>
        </w:r>
        <w:r>
          <w:rPr>
            <w:webHidden/>
          </w:rPr>
          <w:fldChar w:fldCharType="begin"/>
        </w:r>
        <w:r>
          <w:rPr>
            <w:webHidden/>
          </w:rPr>
          <w:instrText>PAGEREF _Toc518331329 \h</w:instrText>
        </w:r>
        <w:r>
          <w:rPr>
            <w:webHidden/>
          </w:rPr>
          <w:fldChar w:fldCharType="separate"/>
        </w:r>
        <w:r>
          <w:rPr>
            <w:rStyle w:val="Czeindeksu"/>
            <w:rFonts w:cs="Arial" w:ascii="Arial" w:hAnsi="Arial"/>
            <w:vanish w:val="false"/>
            <w:sz w:val="20"/>
          </w:rPr>
          <w:tab/>
          <w:t>91</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0">
        <w:r>
          <w:rPr>
            <w:webHidden/>
            <w:rStyle w:val="Czeindeksu"/>
            <w:rFonts w:cs="Arial" w:ascii="Arial" w:hAnsi="Arial"/>
            <w:sz w:val="20"/>
          </w:rPr>
          <w:t>10.2.2</w:t>
        </w:r>
        <w:r>
          <w:rPr>
            <w:rStyle w:val="Czeindeksu"/>
            <w:rFonts w:eastAsia="" w:cs="Arial" w:ascii="Arial" w:hAnsi="Arial" w:eastAsiaTheme="minorEastAsia"/>
            <w:color w:val="00000A"/>
            <w:sz w:val="20"/>
          </w:rPr>
          <w:tab/>
        </w:r>
        <w:r>
          <w:rPr>
            <w:rStyle w:val="Czeindeksu"/>
            <w:rFonts w:cs="Arial" w:ascii="Arial" w:hAnsi="Arial"/>
            <w:sz w:val="20"/>
          </w:rPr>
          <w:t>Waloryzacja  wariantów</w:t>
        </w:r>
        <w:r>
          <w:rPr>
            <w:webHidden/>
          </w:rPr>
          <w:fldChar w:fldCharType="begin"/>
        </w:r>
        <w:r>
          <w:rPr>
            <w:webHidden/>
          </w:rPr>
          <w:instrText>PAGEREF _Toc518331330 \h</w:instrText>
        </w:r>
        <w:r>
          <w:rPr>
            <w:webHidden/>
          </w:rPr>
          <w:fldChar w:fldCharType="separate"/>
        </w:r>
        <w:r>
          <w:rPr>
            <w:rStyle w:val="Czeindeksu"/>
            <w:rFonts w:cs="Arial" w:ascii="Arial" w:hAnsi="Arial"/>
            <w:vanish w:val="false"/>
            <w:sz w:val="20"/>
          </w:rPr>
          <w:tab/>
          <w:t>92</w:t>
        </w:r>
        <w:r>
          <w:rPr>
            <w:webHidden/>
          </w:rPr>
          <w:fldChar w:fldCharType="end"/>
        </w:r>
      </w:hyperlink>
    </w:p>
    <w:p>
      <w:pPr>
        <w:pStyle w:val="Spistreci1"/>
        <w:rPr>
          <w:rFonts w:eastAsia="" w:eastAsiaTheme="minorEastAsia"/>
        </w:rPr>
      </w:pPr>
      <w:hyperlink w:anchor="_Toc518331331">
        <w:r>
          <w:rPr>
            <w:webHidden/>
            <w:rStyle w:val="Czeindeksu"/>
          </w:rPr>
          <w:t>11</w:t>
        </w:r>
        <w:r>
          <w:rPr>
            <w:rStyle w:val="Czeindeksu"/>
            <w:rFonts w:eastAsia="" w:eastAsiaTheme="minorEastAsia"/>
          </w:rPr>
          <w:tab/>
        </w:r>
        <w:r>
          <w:rPr>
            <w:rStyle w:val="Czeindeksu"/>
          </w:rPr>
          <w:t>UZASADNIENIE PROPONOWANEGO PRZEZ WNIOSKODAWCĘ WARIANTU, ZE WSKAZANIEM JEGO ODDZIAŁYWANIA NA ŚRODOWISKO</w:t>
        </w:r>
        <w:r>
          <w:rPr>
            <w:webHidden/>
          </w:rPr>
          <w:fldChar w:fldCharType="begin"/>
        </w:r>
        <w:r>
          <w:rPr>
            <w:webHidden/>
          </w:rPr>
          <w:instrText>PAGEREF _Toc518331331 \h</w:instrText>
        </w:r>
        <w:r>
          <w:rPr>
            <w:webHidden/>
          </w:rPr>
          <w:fldChar w:fldCharType="separate"/>
        </w:r>
        <w:r>
          <w:rPr>
            <w:rStyle w:val="Czeindeksu"/>
            <w:vanish w:val="false"/>
          </w:rPr>
          <w:tab/>
          <w:t>96</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32">
        <w:r>
          <w:rPr>
            <w:webHidden/>
            <w:rStyle w:val="Czeindeksu"/>
            <w:rFonts w:cs="Arial" w:ascii="Arial" w:hAnsi="Arial"/>
            <w:sz w:val="20"/>
          </w:rPr>
          <w:t>11.1</w:t>
        </w:r>
        <w:r>
          <w:rPr>
            <w:rStyle w:val="Czeindeksu"/>
            <w:rFonts w:eastAsia="" w:cs="Arial" w:ascii="Arial" w:hAnsi="Arial" w:eastAsiaTheme="minorEastAsia"/>
            <w:color w:val="00000A"/>
            <w:sz w:val="20"/>
          </w:rPr>
          <w:tab/>
        </w:r>
        <w:r>
          <w:rPr>
            <w:rStyle w:val="Czeindeksu"/>
            <w:rFonts w:cs="Arial" w:ascii="Arial" w:hAnsi="Arial"/>
            <w:sz w:val="20"/>
          </w:rPr>
          <w:t>Oddziaływanie na etapie realizacji</w:t>
        </w:r>
        <w:r>
          <w:rPr>
            <w:webHidden/>
          </w:rPr>
          <w:fldChar w:fldCharType="begin"/>
        </w:r>
        <w:r>
          <w:rPr>
            <w:webHidden/>
          </w:rPr>
          <w:instrText>PAGEREF _Toc518331332 \h</w:instrText>
        </w:r>
        <w:r>
          <w:rPr>
            <w:webHidden/>
          </w:rPr>
          <w:fldChar w:fldCharType="separate"/>
        </w:r>
        <w:r>
          <w:rPr>
            <w:rStyle w:val="Czeindeksu"/>
            <w:rFonts w:cs="Arial" w:ascii="Arial" w:hAnsi="Arial"/>
            <w:vanish w:val="false"/>
            <w:sz w:val="20"/>
          </w:rPr>
          <w:tab/>
          <w:t>96</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3">
        <w:r>
          <w:rPr>
            <w:webHidden/>
            <w:rStyle w:val="Czeindeksu"/>
            <w:rFonts w:cs="Arial" w:ascii="Arial" w:hAnsi="Arial"/>
            <w:sz w:val="20"/>
          </w:rPr>
          <w:t>11.1.1</w:t>
        </w:r>
        <w:r>
          <w:rPr>
            <w:rStyle w:val="Czeindeksu"/>
            <w:rFonts w:eastAsia="" w:cs="Arial" w:ascii="Arial" w:hAnsi="Arial" w:eastAsiaTheme="minorEastAsia"/>
            <w:color w:val="00000A"/>
            <w:sz w:val="20"/>
          </w:rPr>
          <w:tab/>
        </w:r>
        <w:r>
          <w:rPr>
            <w:rStyle w:val="Czeindeksu"/>
            <w:rFonts w:cs="Arial" w:ascii="Arial" w:hAnsi="Arial"/>
            <w:sz w:val="20"/>
          </w:rPr>
          <w:t>Oddziaływanie na ludzi</w:t>
        </w:r>
        <w:r>
          <w:rPr>
            <w:webHidden/>
          </w:rPr>
          <w:fldChar w:fldCharType="begin"/>
        </w:r>
        <w:r>
          <w:rPr>
            <w:webHidden/>
          </w:rPr>
          <w:instrText>PAGEREF _Toc518331333 \h</w:instrText>
        </w:r>
        <w:r>
          <w:rPr>
            <w:webHidden/>
          </w:rPr>
          <w:fldChar w:fldCharType="separate"/>
        </w:r>
        <w:r>
          <w:rPr>
            <w:rStyle w:val="Czeindeksu"/>
            <w:rFonts w:cs="Arial" w:ascii="Arial" w:hAnsi="Arial"/>
            <w:vanish w:val="false"/>
            <w:sz w:val="20"/>
          </w:rPr>
          <w:tab/>
          <w:t>96</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4">
        <w:r>
          <w:rPr>
            <w:webHidden/>
            <w:rStyle w:val="Czeindeksu"/>
            <w:rFonts w:cs="Arial" w:ascii="Arial" w:hAnsi="Arial"/>
            <w:sz w:val="20"/>
          </w:rPr>
          <w:t>11.1.2</w:t>
        </w:r>
        <w:r>
          <w:rPr>
            <w:rStyle w:val="Czeindeksu"/>
            <w:rFonts w:eastAsia="" w:cs="Arial" w:ascii="Arial" w:hAnsi="Arial" w:eastAsiaTheme="minorEastAsia"/>
            <w:color w:val="00000A"/>
            <w:sz w:val="20"/>
          </w:rPr>
          <w:tab/>
        </w:r>
        <w:r>
          <w:rPr>
            <w:rStyle w:val="Czeindeksu"/>
            <w:rFonts w:cs="Arial" w:ascii="Arial" w:hAnsi="Arial"/>
            <w:sz w:val="20"/>
          </w:rPr>
          <w:t>Oddziaływanie na rośliny, zwierzęta, grzyby i siedliska przyrodnicze</w:t>
        </w:r>
        <w:r>
          <w:rPr>
            <w:webHidden/>
          </w:rPr>
          <w:fldChar w:fldCharType="begin"/>
        </w:r>
        <w:r>
          <w:rPr>
            <w:webHidden/>
          </w:rPr>
          <w:instrText>PAGEREF _Toc518331334 \h</w:instrText>
        </w:r>
        <w:r>
          <w:rPr>
            <w:webHidden/>
          </w:rPr>
          <w:fldChar w:fldCharType="separate"/>
        </w:r>
        <w:r>
          <w:rPr>
            <w:rStyle w:val="Czeindeksu"/>
            <w:rFonts w:cs="Arial" w:ascii="Arial" w:hAnsi="Arial"/>
            <w:vanish w:val="false"/>
            <w:sz w:val="20"/>
          </w:rPr>
          <w:tab/>
          <w:t>96</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5">
        <w:r>
          <w:rPr>
            <w:webHidden/>
            <w:rStyle w:val="Czeindeksu"/>
            <w:rFonts w:cs="Arial" w:ascii="Arial" w:hAnsi="Arial"/>
            <w:sz w:val="20"/>
          </w:rPr>
          <w:t>11.1.3</w:t>
        </w:r>
        <w:r>
          <w:rPr>
            <w:rStyle w:val="Czeindeksu"/>
            <w:rFonts w:eastAsia="" w:cs="Arial" w:ascii="Arial" w:hAnsi="Arial" w:eastAsiaTheme="minorEastAsia"/>
            <w:color w:val="00000A"/>
            <w:sz w:val="20"/>
          </w:rPr>
          <w:tab/>
        </w:r>
        <w:r>
          <w:rPr>
            <w:rStyle w:val="Czeindeksu"/>
            <w:rFonts w:cs="Arial" w:ascii="Arial" w:hAnsi="Arial"/>
            <w:sz w:val="20"/>
          </w:rPr>
          <w:t>Oddziaływanie na tereny chronione</w:t>
        </w:r>
        <w:r>
          <w:rPr>
            <w:webHidden/>
          </w:rPr>
          <w:fldChar w:fldCharType="begin"/>
        </w:r>
        <w:r>
          <w:rPr>
            <w:webHidden/>
          </w:rPr>
          <w:instrText>PAGEREF _Toc518331335 \h</w:instrText>
        </w:r>
        <w:r>
          <w:rPr>
            <w:webHidden/>
          </w:rPr>
          <w:fldChar w:fldCharType="separate"/>
        </w:r>
        <w:r>
          <w:rPr>
            <w:rStyle w:val="Czeindeksu"/>
            <w:rFonts w:cs="Arial" w:ascii="Arial" w:hAnsi="Arial"/>
            <w:vanish w:val="false"/>
            <w:sz w:val="20"/>
          </w:rPr>
          <w:tab/>
          <w:t>97</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6">
        <w:r>
          <w:rPr>
            <w:webHidden/>
            <w:rStyle w:val="Czeindeksu"/>
            <w:rFonts w:cs="Arial" w:ascii="Arial" w:hAnsi="Arial"/>
            <w:sz w:val="20"/>
          </w:rPr>
          <w:t>11.1.4</w:t>
        </w:r>
        <w:r>
          <w:rPr>
            <w:rStyle w:val="Czeindeksu"/>
            <w:rFonts w:eastAsia="" w:cs="Arial" w:ascii="Arial" w:hAnsi="Arial" w:eastAsiaTheme="minorEastAsia"/>
            <w:color w:val="00000A"/>
            <w:sz w:val="20"/>
          </w:rPr>
          <w:tab/>
        </w:r>
        <w:r>
          <w:rPr>
            <w:rStyle w:val="Czeindeksu"/>
            <w:rFonts w:cs="Arial" w:ascii="Arial" w:hAnsi="Arial"/>
            <w:sz w:val="20"/>
          </w:rPr>
          <w:t>Oddziaływanie na wody powierzchniowe i podziemne</w:t>
        </w:r>
        <w:r>
          <w:rPr>
            <w:webHidden/>
          </w:rPr>
          <w:fldChar w:fldCharType="begin"/>
        </w:r>
        <w:r>
          <w:rPr>
            <w:webHidden/>
          </w:rPr>
          <w:instrText>PAGEREF _Toc518331336 \h</w:instrText>
        </w:r>
        <w:r>
          <w:rPr>
            <w:webHidden/>
          </w:rPr>
          <w:fldChar w:fldCharType="separate"/>
        </w:r>
        <w:r>
          <w:rPr>
            <w:rStyle w:val="Czeindeksu"/>
            <w:rFonts w:cs="Arial" w:ascii="Arial" w:hAnsi="Arial"/>
            <w:vanish w:val="false"/>
            <w:sz w:val="20"/>
          </w:rPr>
          <w:tab/>
          <w:t>97</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7">
        <w:r>
          <w:rPr>
            <w:webHidden/>
            <w:rStyle w:val="Czeindeksu"/>
            <w:rFonts w:cs="Arial" w:ascii="Arial" w:hAnsi="Arial"/>
            <w:sz w:val="20"/>
          </w:rPr>
          <w:t>11.1.5</w:t>
        </w:r>
        <w:r>
          <w:rPr>
            <w:rStyle w:val="Czeindeksu"/>
            <w:rFonts w:eastAsia="" w:cs="Arial" w:ascii="Arial" w:hAnsi="Arial" w:eastAsiaTheme="minorEastAsia"/>
            <w:color w:val="00000A"/>
            <w:sz w:val="20"/>
          </w:rPr>
          <w:tab/>
        </w:r>
        <w:r>
          <w:rPr>
            <w:rStyle w:val="Czeindeksu"/>
            <w:rFonts w:cs="Arial" w:ascii="Arial" w:hAnsi="Arial"/>
            <w:sz w:val="20"/>
          </w:rPr>
          <w:t>Oddziaływanie na powietrze atmosferyczne</w:t>
        </w:r>
        <w:r>
          <w:rPr>
            <w:webHidden/>
          </w:rPr>
          <w:fldChar w:fldCharType="begin"/>
        </w:r>
        <w:r>
          <w:rPr>
            <w:webHidden/>
          </w:rPr>
          <w:instrText>PAGEREF _Toc518331337 \h</w:instrText>
        </w:r>
        <w:r>
          <w:rPr>
            <w:webHidden/>
          </w:rPr>
          <w:fldChar w:fldCharType="separate"/>
        </w:r>
        <w:r>
          <w:rPr>
            <w:rStyle w:val="Czeindeksu"/>
            <w:rFonts w:cs="Arial" w:ascii="Arial" w:hAnsi="Arial"/>
            <w:vanish w:val="false"/>
            <w:sz w:val="20"/>
          </w:rPr>
          <w:tab/>
          <w:t>98</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8">
        <w:r>
          <w:rPr>
            <w:webHidden/>
            <w:rStyle w:val="Czeindeksu"/>
            <w:rFonts w:cs="Arial" w:ascii="Arial" w:hAnsi="Arial"/>
            <w:sz w:val="20"/>
          </w:rPr>
          <w:t>11.1.6</w:t>
        </w:r>
        <w:r>
          <w:rPr>
            <w:rStyle w:val="Czeindeksu"/>
            <w:rFonts w:eastAsia="" w:cs="Arial" w:ascii="Arial" w:hAnsi="Arial" w:eastAsiaTheme="minorEastAsia"/>
            <w:color w:val="00000A"/>
            <w:sz w:val="20"/>
          </w:rPr>
          <w:tab/>
        </w:r>
        <w:r>
          <w:rPr>
            <w:rStyle w:val="Czeindeksu"/>
            <w:rFonts w:cs="Arial" w:ascii="Arial" w:hAnsi="Arial"/>
            <w:sz w:val="20"/>
          </w:rPr>
          <w:t>Oddziaływanie na klimat akustyczny</w:t>
        </w:r>
        <w:r>
          <w:rPr>
            <w:webHidden/>
          </w:rPr>
          <w:fldChar w:fldCharType="begin"/>
        </w:r>
        <w:r>
          <w:rPr>
            <w:webHidden/>
          </w:rPr>
          <w:instrText>PAGEREF _Toc518331338 \h</w:instrText>
        </w:r>
        <w:r>
          <w:rPr>
            <w:webHidden/>
          </w:rPr>
          <w:fldChar w:fldCharType="separate"/>
        </w:r>
        <w:r>
          <w:rPr>
            <w:rStyle w:val="Czeindeksu"/>
            <w:rFonts w:cs="Arial" w:ascii="Arial" w:hAnsi="Arial"/>
            <w:vanish w:val="false"/>
            <w:sz w:val="20"/>
          </w:rPr>
          <w:tab/>
          <w:t>99</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9">
        <w:r>
          <w:rPr>
            <w:webHidden/>
            <w:rStyle w:val="Czeindeksu"/>
            <w:rFonts w:cs="Arial" w:ascii="Arial" w:hAnsi="Arial"/>
            <w:sz w:val="20"/>
          </w:rPr>
          <w:t>11.1.7</w:t>
        </w:r>
        <w:r>
          <w:rPr>
            <w:rStyle w:val="Czeindeksu"/>
            <w:rFonts w:eastAsia="" w:cs="Arial" w:ascii="Arial" w:hAnsi="Arial" w:eastAsiaTheme="minorEastAsia"/>
            <w:color w:val="00000A"/>
            <w:sz w:val="20"/>
          </w:rPr>
          <w:tab/>
        </w:r>
        <w:r>
          <w:rPr>
            <w:rStyle w:val="Czeindeksu"/>
            <w:rFonts w:cs="Arial" w:ascii="Arial" w:hAnsi="Arial"/>
            <w:sz w:val="20"/>
          </w:rPr>
          <w:t>Oddziaływanie na powierzchnię ziemi z uwzględnieniem ruchów masowych ziemi</w:t>
        </w:r>
        <w:r>
          <w:rPr>
            <w:webHidden/>
          </w:rPr>
          <w:fldChar w:fldCharType="begin"/>
        </w:r>
        <w:r>
          <w:rPr>
            <w:webHidden/>
          </w:rPr>
          <w:instrText>PAGEREF _Toc518331339 \h</w:instrText>
        </w:r>
        <w:r>
          <w:rPr>
            <w:webHidden/>
          </w:rPr>
          <w:fldChar w:fldCharType="separate"/>
        </w:r>
        <w:r>
          <w:rPr>
            <w:rStyle w:val="Czeindeksu"/>
            <w:rFonts w:cs="Arial" w:ascii="Arial" w:hAnsi="Arial"/>
            <w:vanish w:val="false"/>
            <w:sz w:val="20"/>
          </w:rPr>
          <w:tab/>
          <w:t>99</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0">
        <w:r>
          <w:rPr>
            <w:webHidden/>
            <w:rStyle w:val="Czeindeksu"/>
            <w:rFonts w:cs="Arial" w:ascii="Arial" w:hAnsi="Arial"/>
            <w:sz w:val="20"/>
          </w:rPr>
          <w:t>11.1.8</w:t>
        </w:r>
        <w:r>
          <w:rPr>
            <w:rStyle w:val="Czeindeksu"/>
            <w:rFonts w:eastAsia="" w:cs="Arial" w:ascii="Arial" w:hAnsi="Arial" w:eastAsiaTheme="minorEastAsia"/>
            <w:color w:val="00000A"/>
            <w:sz w:val="20"/>
          </w:rPr>
          <w:tab/>
        </w:r>
        <w:r>
          <w:rPr>
            <w:rStyle w:val="Czeindeksu"/>
            <w:rFonts w:cs="Arial" w:ascii="Arial" w:hAnsi="Arial"/>
            <w:sz w:val="20"/>
          </w:rPr>
          <w:t>Gospodarka odpadami</w:t>
        </w:r>
        <w:r>
          <w:rPr>
            <w:webHidden/>
          </w:rPr>
          <w:fldChar w:fldCharType="begin"/>
        </w:r>
        <w:r>
          <w:rPr>
            <w:webHidden/>
          </w:rPr>
          <w:instrText>PAGEREF _Toc518331340 \h</w:instrText>
        </w:r>
        <w:r>
          <w:rPr>
            <w:webHidden/>
          </w:rPr>
          <w:fldChar w:fldCharType="separate"/>
        </w:r>
        <w:r>
          <w:rPr>
            <w:rStyle w:val="Czeindeksu"/>
            <w:rFonts w:cs="Arial" w:ascii="Arial" w:hAnsi="Arial"/>
            <w:vanish w:val="false"/>
            <w:sz w:val="20"/>
          </w:rPr>
          <w:tab/>
          <w:t>99</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1">
        <w:r>
          <w:rPr>
            <w:webHidden/>
            <w:rStyle w:val="Czeindeksu"/>
            <w:rFonts w:cs="Arial" w:ascii="Arial" w:hAnsi="Arial"/>
            <w:sz w:val="20"/>
          </w:rPr>
          <w:t>11.1.9</w:t>
        </w:r>
        <w:r>
          <w:rPr>
            <w:rStyle w:val="Czeindeksu"/>
            <w:rFonts w:eastAsia="" w:cs="Arial" w:ascii="Arial" w:hAnsi="Arial" w:eastAsiaTheme="minorEastAsia"/>
            <w:color w:val="00000A"/>
            <w:sz w:val="20"/>
          </w:rPr>
          <w:tab/>
        </w:r>
        <w:r>
          <w:rPr>
            <w:rStyle w:val="Czeindeksu"/>
            <w:rFonts w:cs="Arial" w:ascii="Arial" w:hAnsi="Arial"/>
            <w:sz w:val="20"/>
          </w:rPr>
          <w:t>Oddziaływanie na dobra materialne</w:t>
        </w:r>
        <w:r>
          <w:rPr>
            <w:webHidden/>
          </w:rPr>
          <w:fldChar w:fldCharType="begin"/>
        </w:r>
        <w:r>
          <w:rPr>
            <w:webHidden/>
          </w:rPr>
          <w:instrText>PAGEREF _Toc518331341 \h</w:instrText>
        </w:r>
        <w:r>
          <w:rPr>
            <w:webHidden/>
          </w:rPr>
          <w:fldChar w:fldCharType="separate"/>
        </w:r>
        <w:r>
          <w:rPr>
            <w:rStyle w:val="Czeindeksu"/>
            <w:rFonts w:cs="Arial" w:ascii="Arial" w:hAnsi="Arial"/>
            <w:vanish w:val="false"/>
            <w:sz w:val="20"/>
          </w:rPr>
          <w:tab/>
          <w:t>100</w:t>
        </w:r>
        <w:r>
          <w:rPr>
            <w:webHidden/>
          </w:rPr>
          <w:fldChar w:fldCharType="end"/>
        </w:r>
      </w:hyperlink>
    </w:p>
    <w:p>
      <w:pPr>
        <w:pStyle w:val="Spistreci3"/>
        <w:tabs>
          <w:tab w:val="left" w:pos="1777" w:leader="none"/>
          <w:tab w:val="right" w:pos="9356" w:leader="dot"/>
        </w:tabs>
        <w:ind w:left="1767" w:hanging="930"/>
        <w:rPr>
          <w:rFonts w:ascii="Arial" w:hAnsi="Arial" w:eastAsia="" w:cs="Arial" w:eastAsiaTheme="minorEastAsia"/>
          <w:color w:val="00000A"/>
          <w:sz w:val="20"/>
        </w:rPr>
      </w:pPr>
      <w:hyperlink w:anchor="_Toc518331342">
        <w:r>
          <w:rPr>
            <w:webHidden/>
            <w:rStyle w:val="Czeindeksu"/>
            <w:rFonts w:cs="Arial" w:ascii="Arial" w:hAnsi="Arial"/>
            <w:sz w:val="20"/>
          </w:rPr>
          <w:t>11.1.10</w:t>
        </w:r>
        <w:r>
          <w:rPr>
            <w:rStyle w:val="Czeindeksu"/>
            <w:rFonts w:eastAsia="" w:cs="Arial" w:ascii="Arial" w:hAnsi="Arial" w:eastAsiaTheme="minorEastAsia"/>
            <w:color w:val="00000A"/>
            <w:sz w:val="20"/>
          </w:rPr>
          <w:tab/>
        </w:r>
        <w:r>
          <w:rPr>
            <w:rStyle w:val="Czeindeksu"/>
            <w:rFonts w:cs="Arial" w:ascii="Arial" w:hAnsi="Arial"/>
            <w:sz w:val="20"/>
          </w:rPr>
          <w:t>Oddziaływanie na zabytki i krajobraz kulturowy, objęte istniejącą dokumentacją, w szczególności rejestrem lub ewidencją zabytków</w:t>
        </w:r>
        <w:r>
          <w:rPr>
            <w:webHidden/>
          </w:rPr>
          <w:fldChar w:fldCharType="begin"/>
        </w:r>
        <w:r>
          <w:rPr>
            <w:webHidden/>
          </w:rPr>
          <w:instrText>PAGEREF _Toc518331342 \h</w:instrText>
        </w:r>
        <w:r>
          <w:rPr>
            <w:webHidden/>
          </w:rPr>
          <w:fldChar w:fldCharType="separate"/>
        </w:r>
        <w:r>
          <w:rPr>
            <w:rStyle w:val="Czeindeksu"/>
            <w:rFonts w:cs="Arial" w:ascii="Arial" w:hAnsi="Arial"/>
            <w:vanish w:val="false"/>
            <w:sz w:val="20"/>
          </w:rPr>
          <w:tab/>
          <w:t>100</w:t>
        </w:r>
        <w:r>
          <w:rPr>
            <w:webHidden/>
          </w:rPr>
          <w:fldChar w:fldCharType="end"/>
        </w:r>
      </w:hyperlink>
    </w:p>
    <w:p>
      <w:pPr>
        <w:pStyle w:val="Spistreci3"/>
        <w:tabs>
          <w:tab w:val="left" w:pos="1777" w:leader="none"/>
          <w:tab w:val="right" w:pos="9356" w:leader="dot"/>
        </w:tabs>
        <w:rPr>
          <w:rFonts w:ascii="Arial" w:hAnsi="Arial" w:eastAsia="" w:cs="Arial" w:eastAsiaTheme="minorEastAsia"/>
          <w:color w:val="00000A"/>
          <w:sz w:val="20"/>
        </w:rPr>
      </w:pPr>
      <w:hyperlink w:anchor="_Toc518331343">
        <w:r>
          <w:rPr>
            <w:webHidden/>
            <w:rStyle w:val="Czeindeksu"/>
            <w:rFonts w:cs="Arial" w:ascii="Arial" w:hAnsi="Arial"/>
            <w:sz w:val="20"/>
          </w:rPr>
          <w:t>11.1.11</w:t>
        </w:r>
        <w:r>
          <w:rPr>
            <w:rStyle w:val="Czeindeksu"/>
            <w:rFonts w:eastAsia="" w:cs="Arial" w:ascii="Arial" w:hAnsi="Arial" w:eastAsiaTheme="minorEastAsia"/>
            <w:color w:val="00000A"/>
            <w:sz w:val="20"/>
          </w:rPr>
          <w:tab/>
        </w:r>
        <w:r>
          <w:rPr>
            <w:rStyle w:val="Czeindeksu"/>
            <w:rFonts w:cs="Arial" w:ascii="Arial" w:hAnsi="Arial"/>
            <w:sz w:val="20"/>
          </w:rPr>
          <w:t>Oddziaływanie na krajobraz</w:t>
        </w:r>
        <w:r>
          <w:rPr>
            <w:webHidden/>
          </w:rPr>
          <w:fldChar w:fldCharType="begin"/>
        </w:r>
        <w:r>
          <w:rPr>
            <w:webHidden/>
          </w:rPr>
          <w:instrText>PAGEREF _Toc518331343 \h</w:instrText>
        </w:r>
        <w:r>
          <w:rPr>
            <w:webHidden/>
          </w:rPr>
          <w:fldChar w:fldCharType="separate"/>
        </w:r>
        <w:r>
          <w:rPr>
            <w:rStyle w:val="Czeindeksu"/>
            <w:rFonts w:cs="Arial" w:ascii="Arial" w:hAnsi="Arial"/>
            <w:vanish w:val="false"/>
            <w:sz w:val="20"/>
          </w:rPr>
          <w:tab/>
          <w:t>100</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44">
        <w:r>
          <w:rPr>
            <w:webHidden/>
            <w:rStyle w:val="Czeindeksu"/>
            <w:rFonts w:cs="Arial" w:ascii="Arial" w:hAnsi="Arial"/>
            <w:sz w:val="20"/>
          </w:rPr>
          <w:t>11.2</w:t>
        </w:r>
        <w:r>
          <w:rPr>
            <w:rStyle w:val="Czeindeksu"/>
            <w:rFonts w:eastAsia="" w:cs="Arial" w:ascii="Arial" w:hAnsi="Arial" w:eastAsiaTheme="minorEastAsia"/>
            <w:color w:val="00000A"/>
            <w:sz w:val="20"/>
          </w:rPr>
          <w:tab/>
        </w:r>
        <w:r>
          <w:rPr>
            <w:rStyle w:val="Czeindeksu"/>
            <w:rFonts w:cs="Arial" w:ascii="Arial" w:hAnsi="Arial"/>
            <w:sz w:val="20"/>
          </w:rPr>
          <w:t>Oddziaływanie na etapie eksploatacji</w:t>
        </w:r>
        <w:r>
          <w:rPr>
            <w:webHidden/>
          </w:rPr>
          <w:fldChar w:fldCharType="begin"/>
        </w:r>
        <w:r>
          <w:rPr>
            <w:webHidden/>
          </w:rPr>
          <w:instrText>PAGEREF _Toc518331344 \h</w:instrText>
        </w:r>
        <w:r>
          <w:rPr>
            <w:webHidden/>
          </w:rPr>
          <w:fldChar w:fldCharType="separate"/>
        </w:r>
        <w:r>
          <w:rPr>
            <w:rStyle w:val="Czeindeksu"/>
            <w:rFonts w:cs="Arial" w:ascii="Arial" w:hAnsi="Arial"/>
            <w:vanish w:val="false"/>
            <w:sz w:val="20"/>
          </w:rPr>
          <w:tab/>
          <w:t>101</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5">
        <w:r>
          <w:rPr>
            <w:webHidden/>
            <w:rStyle w:val="Czeindeksu"/>
            <w:rFonts w:cs="Arial" w:ascii="Arial" w:hAnsi="Arial"/>
            <w:sz w:val="20"/>
          </w:rPr>
          <w:t>11.2.1</w:t>
        </w:r>
        <w:r>
          <w:rPr>
            <w:rStyle w:val="Czeindeksu"/>
            <w:rFonts w:eastAsia="" w:cs="Arial" w:ascii="Arial" w:hAnsi="Arial" w:eastAsiaTheme="minorEastAsia"/>
            <w:color w:val="00000A"/>
            <w:sz w:val="20"/>
          </w:rPr>
          <w:tab/>
        </w:r>
        <w:r>
          <w:rPr>
            <w:rStyle w:val="Czeindeksu"/>
            <w:rFonts w:cs="Arial" w:ascii="Arial" w:hAnsi="Arial"/>
            <w:sz w:val="20"/>
          </w:rPr>
          <w:t>Oddziaływanie na ludzi</w:t>
        </w:r>
        <w:r>
          <w:rPr>
            <w:webHidden/>
          </w:rPr>
          <w:fldChar w:fldCharType="begin"/>
        </w:r>
        <w:r>
          <w:rPr>
            <w:webHidden/>
          </w:rPr>
          <w:instrText>PAGEREF _Toc518331345 \h</w:instrText>
        </w:r>
        <w:r>
          <w:rPr>
            <w:webHidden/>
          </w:rPr>
          <w:fldChar w:fldCharType="separate"/>
        </w:r>
        <w:r>
          <w:rPr>
            <w:rStyle w:val="Czeindeksu"/>
            <w:rFonts w:cs="Arial" w:ascii="Arial" w:hAnsi="Arial"/>
            <w:vanish w:val="false"/>
            <w:sz w:val="20"/>
          </w:rPr>
          <w:tab/>
          <w:t>101</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6">
        <w:r>
          <w:rPr>
            <w:webHidden/>
            <w:rStyle w:val="Czeindeksu"/>
            <w:rFonts w:cs="Arial" w:ascii="Arial" w:hAnsi="Arial"/>
            <w:sz w:val="20"/>
          </w:rPr>
          <w:t>11.2.2</w:t>
        </w:r>
        <w:r>
          <w:rPr>
            <w:rStyle w:val="Czeindeksu"/>
            <w:rFonts w:eastAsia="" w:cs="Arial" w:ascii="Arial" w:hAnsi="Arial" w:eastAsiaTheme="minorEastAsia"/>
            <w:color w:val="00000A"/>
            <w:sz w:val="20"/>
          </w:rPr>
          <w:tab/>
        </w:r>
        <w:r>
          <w:rPr>
            <w:rStyle w:val="Czeindeksu"/>
            <w:rFonts w:cs="Arial" w:ascii="Arial" w:hAnsi="Arial"/>
            <w:sz w:val="20"/>
          </w:rPr>
          <w:t>Oddziaływanie na rośliny, zwierzęta, grzyby i siedliska przyrodnicze</w:t>
        </w:r>
        <w:r>
          <w:rPr>
            <w:webHidden/>
          </w:rPr>
          <w:fldChar w:fldCharType="begin"/>
        </w:r>
        <w:r>
          <w:rPr>
            <w:webHidden/>
          </w:rPr>
          <w:instrText>PAGEREF _Toc518331346 \h</w:instrText>
        </w:r>
        <w:r>
          <w:rPr>
            <w:webHidden/>
          </w:rPr>
          <w:fldChar w:fldCharType="separate"/>
        </w:r>
        <w:r>
          <w:rPr>
            <w:rStyle w:val="Czeindeksu"/>
            <w:rFonts w:cs="Arial" w:ascii="Arial" w:hAnsi="Arial"/>
            <w:vanish w:val="false"/>
            <w:sz w:val="20"/>
          </w:rPr>
          <w:tab/>
          <w:t>102</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7">
        <w:r>
          <w:rPr>
            <w:webHidden/>
            <w:rStyle w:val="Czeindeksu"/>
            <w:rFonts w:cs="Arial" w:ascii="Arial" w:hAnsi="Arial"/>
            <w:sz w:val="20"/>
          </w:rPr>
          <w:t>11.2.3</w:t>
        </w:r>
        <w:r>
          <w:rPr>
            <w:rStyle w:val="Czeindeksu"/>
            <w:rFonts w:eastAsia="" w:cs="Arial" w:ascii="Arial" w:hAnsi="Arial" w:eastAsiaTheme="minorEastAsia"/>
            <w:color w:val="00000A"/>
            <w:sz w:val="20"/>
          </w:rPr>
          <w:tab/>
        </w:r>
        <w:r>
          <w:rPr>
            <w:rStyle w:val="Czeindeksu"/>
            <w:rFonts w:cs="Arial" w:ascii="Arial" w:hAnsi="Arial"/>
            <w:sz w:val="20"/>
          </w:rPr>
          <w:t>Oddziaływanie na obszary chronione, w tym obszary Natura 2000</w:t>
        </w:r>
        <w:r>
          <w:rPr>
            <w:webHidden/>
          </w:rPr>
          <w:fldChar w:fldCharType="begin"/>
        </w:r>
        <w:r>
          <w:rPr>
            <w:webHidden/>
          </w:rPr>
          <w:instrText>PAGEREF _Toc518331347 \h</w:instrText>
        </w:r>
        <w:r>
          <w:rPr>
            <w:webHidden/>
          </w:rPr>
          <w:fldChar w:fldCharType="separate"/>
        </w:r>
        <w:r>
          <w:rPr>
            <w:rStyle w:val="Czeindeksu"/>
            <w:rFonts w:cs="Arial" w:ascii="Arial" w:hAnsi="Arial"/>
            <w:vanish w:val="false"/>
            <w:sz w:val="20"/>
          </w:rPr>
          <w:tab/>
          <w:t>102</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8">
        <w:r>
          <w:rPr>
            <w:webHidden/>
            <w:rStyle w:val="Czeindeksu"/>
            <w:rFonts w:cs="Arial" w:ascii="Arial" w:hAnsi="Arial"/>
            <w:sz w:val="20"/>
          </w:rPr>
          <w:t>11.2.4</w:t>
        </w:r>
        <w:r>
          <w:rPr>
            <w:rStyle w:val="Czeindeksu"/>
            <w:rFonts w:eastAsia="" w:cs="Arial" w:ascii="Arial" w:hAnsi="Arial" w:eastAsiaTheme="minorEastAsia"/>
            <w:color w:val="00000A"/>
            <w:sz w:val="20"/>
          </w:rPr>
          <w:tab/>
        </w:r>
        <w:r>
          <w:rPr>
            <w:rStyle w:val="Czeindeksu"/>
            <w:rFonts w:cs="Arial" w:ascii="Arial" w:hAnsi="Arial"/>
            <w:sz w:val="20"/>
          </w:rPr>
          <w:t>Oddziaływanie na wody powierzchniowe i podziemne</w:t>
        </w:r>
        <w:r>
          <w:rPr>
            <w:webHidden/>
          </w:rPr>
          <w:fldChar w:fldCharType="begin"/>
        </w:r>
        <w:r>
          <w:rPr>
            <w:webHidden/>
          </w:rPr>
          <w:instrText>PAGEREF _Toc518331348 \h</w:instrText>
        </w:r>
        <w:r>
          <w:rPr>
            <w:webHidden/>
          </w:rPr>
          <w:fldChar w:fldCharType="separate"/>
        </w:r>
        <w:r>
          <w:rPr>
            <w:rStyle w:val="Czeindeksu"/>
            <w:rFonts w:cs="Arial" w:ascii="Arial" w:hAnsi="Arial"/>
            <w:vanish w:val="false"/>
            <w:sz w:val="20"/>
          </w:rPr>
          <w:tab/>
          <w:t>102</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9">
        <w:r>
          <w:rPr>
            <w:webHidden/>
            <w:rStyle w:val="Czeindeksu"/>
            <w:rFonts w:cs="Arial" w:ascii="Arial" w:hAnsi="Arial"/>
            <w:sz w:val="20"/>
          </w:rPr>
          <w:t>11.2.5</w:t>
        </w:r>
        <w:r>
          <w:rPr>
            <w:rStyle w:val="Czeindeksu"/>
            <w:rFonts w:eastAsia="" w:cs="Arial" w:ascii="Arial" w:hAnsi="Arial" w:eastAsiaTheme="minorEastAsia"/>
            <w:color w:val="00000A"/>
            <w:sz w:val="20"/>
          </w:rPr>
          <w:tab/>
        </w:r>
        <w:r>
          <w:rPr>
            <w:rStyle w:val="Czeindeksu"/>
            <w:rFonts w:cs="Arial" w:ascii="Arial" w:hAnsi="Arial"/>
            <w:sz w:val="20"/>
          </w:rPr>
          <w:t>Oddziaływanie na powietrze atmosferyczne</w:t>
        </w:r>
        <w:r>
          <w:rPr>
            <w:webHidden/>
          </w:rPr>
          <w:fldChar w:fldCharType="begin"/>
        </w:r>
        <w:r>
          <w:rPr>
            <w:webHidden/>
          </w:rPr>
          <w:instrText>PAGEREF _Toc518331349 \h</w:instrText>
        </w:r>
        <w:r>
          <w:rPr>
            <w:webHidden/>
          </w:rPr>
          <w:fldChar w:fldCharType="separate"/>
        </w:r>
        <w:r>
          <w:rPr>
            <w:rStyle w:val="Czeindeksu"/>
            <w:rFonts w:cs="Arial" w:ascii="Arial" w:hAnsi="Arial"/>
            <w:vanish w:val="false"/>
            <w:sz w:val="20"/>
          </w:rPr>
          <w:tab/>
          <w:t>106</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50">
        <w:r>
          <w:rPr>
            <w:webHidden/>
            <w:rStyle w:val="Czeindeksu"/>
            <w:rFonts w:cs="Arial" w:ascii="Arial" w:hAnsi="Arial"/>
            <w:sz w:val="20"/>
          </w:rPr>
          <w:t>11.2.6</w:t>
        </w:r>
        <w:r>
          <w:rPr>
            <w:rStyle w:val="Czeindeksu"/>
            <w:rFonts w:eastAsia="" w:cs="Arial" w:ascii="Arial" w:hAnsi="Arial" w:eastAsiaTheme="minorEastAsia"/>
            <w:color w:val="00000A"/>
            <w:sz w:val="20"/>
          </w:rPr>
          <w:tab/>
        </w:r>
        <w:r>
          <w:rPr>
            <w:rStyle w:val="Czeindeksu"/>
            <w:rFonts w:cs="Arial" w:ascii="Arial" w:hAnsi="Arial"/>
            <w:sz w:val="20"/>
          </w:rPr>
          <w:t>Oddziaływanie na klimat akustyczny</w:t>
        </w:r>
        <w:r>
          <w:rPr>
            <w:webHidden/>
          </w:rPr>
          <w:fldChar w:fldCharType="begin"/>
        </w:r>
        <w:r>
          <w:rPr>
            <w:webHidden/>
          </w:rPr>
          <w:instrText>PAGEREF _Toc518331350 \h</w:instrText>
        </w:r>
        <w:r>
          <w:rPr>
            <w:webHidden/>
          </w:rPr>
          <w:fldChar w:fldCharType="separate"/>
        </w:r>
        <w:r>
          <w:rPr>
            <w:rStyle w:val="Czeindeksu"/>
            <w:rFonts w:cs="Arial" w:ascii="Arial" w:hAnsi="Arial"/>
            <w:vanish w:val="false"/>
            <w:sz w:val="20"/>
          </w:rPr>
          <w:tab/>
          <w:t>126</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51">
        <w:r>
          <w:rPr>
            <w:webHidden/>
            <w:rStyle w:val="Czeindeksu"/>
            <w:rFonts w:cs="Arial" w:ascii="Arial" w:hAnsi="Arial"/>
            <w:sz w:val="20"/>
          </w:rPr>
          <w:t>11.2.7</w:t>
        </w:r>
        <w:r>
          <w:rPr>
            <w:rStyle w:val="Czeindeksu"/>
            <w:rFonts w:eastAsia="" w:cs="Arial" w:ascii="Arial" w:hAnsi="Arial" w:eastAsiaTheme="minorEastAsia"/>
            <w:color w:val="00000A"/>
            <w:sz w:val="20"/>
          </w:rPr>
          <w:tab/>
        </w:r>
        <w:r>
          <w:rPr>
            <w:rStyle w:val="Czeindeksu"/>
            <w:rFonts w:cs="Arial" w:ascii="Arial" w:hAnsi="Arial"/>
            <w:sz w:val="20"/>
          </w:rPr>
          <w:t>Oddziaływanie na powierzchnię ziemi z uwzględnieniem ruchów masowych ziemi</w:t>
        </w:r>
        <w:r>
          <w:rPr>
            <w:webHidden/>
          </w:rPr>
          <w:fldChar w:fldCharType="begin"/>
        </w:r>
        <w:r>
          <w:rPr>
            <w:webHidden/>
          </w:rPr>
          <w:instrText>PAGEREF _Toc518331351 \h</w:instrText>
        </w:r>
        <w:r>
          <w:rPr>
            <w:webHidden/>
          </w:rPr>
          <w:fldChar w:fldCharType="separate"/>
        </w:r>
        <w:r>
          <w:rPr>
            <w:rStyle w:val="Czeindeksu"/>
            <w:rFonts w:cs="Arial" w:ascii="Arial" w:hAnsi="Arial"/>
            <w:vanish w:val="false"/>
            <w:sz w:val="20"/>
          </w:rPr>
          <w:tab/>
          <w:t>134</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52">
        <w:r>
          <w:rPr>
            <w:webHidden/>
            <w:rStyle w:val="Czeindeksu"/>
            <w:rFonts w:cs="Arial" w:ascii="Arial" w:hAnsi="Arial"/>
            <w:sz w:val="20"/>
          </w:rPr>
          <w:t>11.2.8</w:t>
        </w:r>
        <w:r>
          <w:rPr>
            <w:rStyle w:val="Czeindeksu"/>
            <w:rFonts w:eastAsia="" w:cs="Arial" w:ascii="Arial" w:hAnsi="Arial" w:eastAsiaTheme="minorEastAsia"/>
            <w:color w:val="00000A"/>
            <w:sz w:val="20"/>
          </w:rPr>
          <w:tab/>
        </w:r>
        <w:r>
          <w:rPr>
            <w:rStyle w:val="Czeindeksu"/>
            <w:rFonts w:cs="Arial" w:ascii="Arial" w:hAnsi="Arial"/>
            <w:sz w:val="20"/>
          </w:rPr>
          <w:t>Gospodarka odpadami</w:t>
        </w:r>
        <w:r>
          <w:rPr>
            <w:webHidden/>
          </w:rPr>
          <w:fldChar w:fldCharType="begin"/>
        </w:r>
        <w:r>
          <w:rPr>
            <w:webHidden/>
          </w:rPr>
          <w:instrText>PAGEREF _Toc518331352 \h</w:instrText>
        </w:r>
        <w:r>
          <w:rPr>
            <w:webHidden/>
          </w:rPr>
          <w:fldChar w:fldCharType="separate"/>
        </w:r>
        <w:r>
          <w:rPr>
            <w:rStyle w:val="Czeindeksu"/>
            <w:rFonts w:cs="Arial" w:ascii="Arial" w:hAnsi="Arial"/>
            <w:vanish w:val="false"/>
            <w:sz w:val="20"/>
          </w:rPr>
          <w:tab/>
          <w:t>134</w:t>
        </w:r>
        <w:r>
          <w:rPr>
            <w:webHidden/>
          </w:rPr>
          <w:fldChar w:fldCharType="end"/>
        </w:r>
      </w:hyperlink>
    </w:p>
    <w:p>
      <w:pPr>
        <w:pStyle w:val="Spistreci1"/>
        <w:rPr>
          <w:rFonts w:eastAsia="" w:eastAsiaTheme="minorEastAsia"/>
        </w:rPr>
      </w:pPr>
      <w:hyperlink w:anchor="_Toc518331353">
        <w:r>
          <w:rPr>
            <w:webHidden/>
            <w:rStyle w:val="Czeindeksu"/>
          </w:rPr>
          <w:t>12</w:t>
        </w:r>
        <w:r>
          <w:rPr>
            <w:rStyle w:val="Czeindeksu"/>
            <w:rFonts w:eastAsia="" w:eastAsiaTheme="minorEastAsia"/>
          </w:rPr>
          <w:tab/>
        </w:r>
        <w:r>
          <w:rPr>
            <w:rStyle w:val="Czeindeksu"/>
          </w:rPr>
          <w:t>OPIS METOD PROGNOZOWANIA ZASTOSOWANYCH PRZEZ WNIOSKODAWCĘ ORAZ OPIS PRZEWIDYWANYCH ZNACZĄCYCH ODDZIAŁYWAŃ PLANOWANEGO PRZEDSIĘWZIĘCIA NA ŚRODOWISKO, OBEJMUJĄCY BEZPOŚREDNIE, POŚREDNIE, WTÓRNE, SKUMULOWANE, KRÓTKO-, ŚREDNIO- I DŁUGOTERMINOWE, STAŁE I CHWILOWE ODDZIAŁYWANIA NA ŚRODOWISKO</w:t>
        </w:r>
        <w:r>
          <w:rPr>
            <w:webHidden/>
          </w:rPr>
          <w:fldChar w:fldCharType="begin"/>
        </w:r>
        <w:r>
          <w:rPr>
            <w:webHidden/>
          </w:rPr>
          <w:instrText>PAGEREF _Toc518331353 \h</w:instrText>
        </w:r>
        <w:r>
          <w:rPr>
            <w:webHidden/>
          </w:rPr>
          <w:fldChar w:fldCharType="separate"/>
        </w:r>
        <w:r>
          <w:rPr>
            <w:rStyle w:val="Czeindeksu"/>
            <w:vanish w:val="false"/>
          </w:rPr>
          <w:tab/>
          <w:t>138</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54">
        <w:r>
          <w:rPr>
            <w:webHidden/>
            <w:rStyle w:val="Czeindeksu"/>
            <w:rFonts w:cs="Arial" w:ascii="Arial" w:hAnsi="Arial"/>
            <w:sz w:val="20"/>
          </w:rPr>
          <w:t>12.1</w:t>
        </w:r>
        <w:r>
          <w:rPr>
            <w:rStyle w:val="Czeindeksu"/>
            <w:rFonts w:eastAsia="" w:cs="Arial" w:ascii="Arial" w:hAnsi="Arial" w:eastAsiaTheme="minorEastAsia"/>
            <w:color w:val="00000A"/>
            <w:sz w:val="20"/>
          </w:rPr>
          <w:tab/>
        </w:r>
        <w:r>
          <w:rPr>
            <w:rStyle w:val="Czeindeksu"/>
            <w:rFonts w:cs="Arial" w:ascii="Arial" w:hAnsi="Arial"/>
            <w:sz w:val="20"/>
          </w:rPr>
          <w:t>Opis metod prognozowania</w:t>
        </w:r>
        <w:r>
          <w:rPr>
            <w:webHidden/>
          </w:rPr>
          <w:fldChar w:fldCharType="begin"/>
        </w:r>
        <w:r>
          <w:rPr>
            <w:webHidden/>
          </w:rPr>
          <w:instrText>PAGEREF _Toc518331354 \h</w:instrText>
        </w:r>
        <w:r>
          <w:rPr>
            <w:webHidden/>
          </w:rPr>
          <w:fldChar w:fldCharType="separate"/>
        </w:r>
        <w:r>
          <w:rPr>
            <w:rStyle w:val="Czeindeksu"/>
            <w:rFonts w:cs="Arial" w:ascii="Arial" w:hAnsi="Arial"/>
            <w:vanish w:val="false"/>
            <w:sz w:val="20"/>
          </w:rPr>
          <w:tab/>
          <w:t>138</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55">
        <w:r>
          <w:rPr>
            <w:webHidden/>
            <w:rStyle w:val="Czeindeksu"/>
            <w:rFonts w:cs="Arial" w:ascii="Arial" w:hAnsi="Arial"/>
            <w:sz w:val="20"/>
          </w:rPr>
          <w:t>12.2</w:t>
        </w:r>
        <w:r>
          <w:rPr>
            <w:rStyle w:val="Czeindeksu"/>
            <w:rFonts w:eastAsia="" w:cs="Arial" w:ascii="Arial" w:hAnsi="Arial" w:eastAsiaTheme="minorEastAsia"/>
            <w:color w:val="00000A"/>
            <w:sz w:val="20"/>
          </w:rPr>
          <w:tab/>
        </w:r>
        <w:r>
          <w:rPr>
            <w:rStyle w:val="Czeindeksu"/>
            <w:rFonts w:cs="Arial" w:ascii="Arial" w:hAnsi="Arial"/>
            <w:sz w:val="20"/>
          </w:rPr>
          <w:t>Metodyka przeprowadzenia prognozy</w:t>
        </w:r>
        <w:r>
          <w:rPr>
            <w:webHidden/>
          </w:rPr>
          <w:fldChar w:fldCharType="begin"/>
        </w:r>
        <w:r>
          <w:rPr>
            <w:webHidden/>
          </w:rPr>
          <w:instrText>PAGEREF _Toc518331355 \h</w:instrText>
        </w:r>
        <w:r>
          <w:rPr>
            <w:webHidden/>
          </w:rPr>
          <w:fldChar w:fldCharType="separate"/>
        </w:r>
        <w:r>
          <w:rPr>
            <w:rStyle w:val="Czeindeksu"/>
            <w:rFonts w:cs="Arial" w:ascii="Arial" w:hAnsi="Arial"/>
            <w:vanish w:val="false"/>
            <w:sz w:val="20"/>
          </w:rPr>
          <w:tab/>
          <w:t>138</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356">
        <w:r>
          <w:rPr>
            <w:webHidden/>
            <w:rStyle w:val="Czeindeksu"/>
            <w:rFonts w:cs="Arial" w:ascii="Arial" w:hAnsi="Arial"/>
            <w:sz w:val="20"/>
          </w:rPr>
          <w:t>12.3</w:t>
        </w:r>
        <w:r>
          <w:rPr>
            <w:rStyle w:val="Czeindeksu"/>
            <w:rFonts w:eastAsia="" w:cs="Arial" w:ascii="Arial" w:hAnsi="Arial" w:eastAsiaTheme="minorEastAsia"/>
            <w:color w:val="00000A"/>
            <w:sz w:val="20"/>
          </w:rPr>
          <w:tab/>
        </w:r>
        <w:r>
          <w:rPr>
            <w:rStyle w:val="Czeindeksu"/>
            <w:rFonts w:cs="Arial" w:ascii="Arial" w:hAnsi="Arial"/>
            <w:sz w:val="20"/>
          </w:rPr>
          <w:t>Opis przewidywanych znaczących oddziaływań planowanego przedsięwzięcia na środowisko</w:t>
        </w:r>
        <w:r>
          <w:rPr>
            <w:webHidden/>
          </w:rPr>
          <w:fldChar w:fldCharType="begin"/>
        </w:r>
        <w:r>
          <w:rPr>
            <w:webHidden/>
          </w:rPr>
          <w:instrText>PAGEREF _Toc518331356 \h</w:instrText>
        </w:r>
        <w:r>
          <w:rPr>
            <w:webHidden/>
          </w:rPr>
          <w:fldChar w:fldCharType="separate"/>
        </w:r>
        <w:r>
          <w:rPr>
            <w:rStyle w:val="Czeindeksu"/>
            <w:rFonts w:cs="Arial" w:ascii="Arial" w:hAnsi="Arial"/>
            <w:vanish w:val="false"/>
            <w:sz w:val="20"/>
          </w:rPr>
          <w:tab/>
          <w:t>139</w:t>
        </w:r>
        <w:r>
          <w:rPr>
            <w:webHidden/>
          </w:rPr>
          <w:fldChar w:fldCharType="end"/>
        </w:r>
      </w:hyperlink>
    </w:p>
    <w:p>
      <w:pPr>
        <w:pStyle w:val="Spistreci1"/>
        <w:rPr>
          <w:rFonts w:eastAsia="" w:eastAsiaTheme="minorEastAsia"/>
        </w:rPr>
      </w:pPr>
      <w:hyperlink w:anchor="_Toc518331357">
        <w:r>
          <w:rPr>
            <w:webHidden/>
            <w:rStyle w:val="Czeindeksu"/>
          </w:rPr>
          <w:t>13</w:t>
        </w:r>
        <w:r>
          <w:rPr>
            <w:rStyle w:val="Czeindeksu"/>
            <w:rFonts w:eastAsia="" w:eastAsiaTheme="minorEastAsia"/>
          </w:rPr>
          <w:tab/>
        </w:r>
        <w:r>
          <w:rPr>
            <w:rStyle w:val="Czeindeksu"/>
          </w:rPr>
          <w:t>DZIAŁANIA MAJĄCE NA CELU UNIKANIE, ZAPOBIEGANIE, OGRANICZANIE LUB KOMPENSACJĘ PRZYRODNICZĄ NEGATYWNYCH ODDZIAŁYWAŃ NA ŚRODOWISKO, W SZCZEGÓLNOŚCI NA FORMY OCHRONY PRZYRODY ORAZ CIĄGŁOŚĆ ŁĄCZĄCYCH JE KORYTARZY EKOLOGICZNYCH</w:t>
        </w:r>
        <w:r>
          <w:rPr>
            <w:webHidden/>
          </w:rPr>
          <w:fldChar w:fldCharType="begin"/>
        </w:r>
        <w:r>
          <w:rPr>
            <w:webHidden/>
          </w:rPr>
          <w:instrText>PAGEREF _Toc518331357 \h</w:instrText>
        </w:r>
        <w:r>
          <w:rPr>
            <w:webHidden/>
          </w:rPr>
          <w:fldChar w:fldCharType="separate"/>
        </w:r>
        <w:r>
          <w:rPr>
            <w:rStyle w:val="Czeindeksu"/>
            <w:vanish w:val="false"/>
          </w:rPr>
          <w:tab/>
          <w:t>141</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58">
        <w:r>
          <w:rPr>
            <w:webHidden/>
            <w:rStyle w:val="Czeindeksu"/>
            <w:rFonts w:cs="Arial" w:ascii="Arial" w:hAnsi="Arial"/>
            <w:sz w:val="20"/>
          </w:rPr>
          <w:t>13.1</w:t>
        </w:r>
        <w:r>
          <w:rPr>
            <w:rStyle w:val="Czeindeksu"/>
            <w:rFonts w:eastAsia="" w:cs="Arial" w:ascii="Arial" w:hAnsi="Arial" w:eastAsiaTheme="minorEastAsia"/>
            <w:color w:val="00000A"/>
            <w:sz w:val="20"/>
          </w:rPr>
          <w:tab/>
        </w:r>
        <w:r>
          <w:rPr>
            <w:rStyle w:val="Czeindeksu"/>
            <w:rFonts w:cs="Arial" w:ascii="Arial" w:hAnsi="Arial"/>
            <w:sz w:val="20"/>
          </w:rPr>
          <w:t>Metody ochrony powietrza</w:t>
        </w:r>
        <w:r>
          <w:rPr>
            <w:webHidden/>
          </w:rPr>
          <w:fldChar w:fldCharType="begin"/>
        </w:r>
        <w:r>
          <w:rPr>
            <w:webHidden/>
          </w:rPr>
          <w:instrText>PAGEREF _Toc518331358 \h</w:instrText>
        </w:r>
        <w:r>
          <w:rPr>
            <w:webHidden/>
          </w:rPr>
          <w:fldChar w:fldCharType="separate"/>
        </w:r>
        <w:r>
          <w:rPr>
            <w:rStyle w:val="Czeindeksu"/>
            <w:rFonts w:cs="Arial" w:ascii="Arial" w:hAnsi="Arial"/>
            <w:vanish w:val="false"/>
            <w:sz w:val="20"/>
          </w:rPr>
          <w:tab/>
          <w:t>141</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59">
        <w:r>
          <w:rPr>
            <w:webHidden/>
            <w:rStyle w:val="Czeindeksu"/>
            <w:rFonts w:cs="Arial" w:ascii="Arial" w:hAnsi="Arial"/>
            <w:sz w:val="20"/>
          </w:rPr>
          <w:t>13.2</w:t>
        </w:r>
        <w:r>
          <w:rPr>
            <w:rStyle w:val="Czeindeksu"/>
            <w:rFonts w:eastAsia="" w:cs="Arial" w:ascii="Arial" w:hAnsi="Arial" w:eastAsiaTheme="minorEastAsia"/>
            <w:color w:val="00000A"/>
            <w:sz w:val="20"/>
          </w:rPr>
          <w:tab/>
        </w:r>
        <w:r>
          <w:rPr>
            <w:rStyle w:val="Czeindeksu"/>
            <w:rFonts w:cs="Arial" w:ascii="Arial" w:hAnsi="Arial"/>
            <w:sz w:val="20"/>
          </w:rPr>
          <w:t>Metody ochrony przed nadmiernym hałasem</w:t>
        </w:r>
        <w:r>
          <w:rPr>
            <w:webHidden/>
          </w:rPr>
          <w:fldChar w:fldCharType="begin"/>
        </w:r>
        <w:r>
          <w:rPr>
            <w:webHidden/>
          </w:rPr>
          <w:instrText>PAGEREF _Toc518331359 \h</w:instrText>
        </w:r>
        <w:r>
          <w:rPr>
            <w:webHidden/>
          </w:rPr>
          <w:fldChar w:fldCharType="separate"/>
        </w:r>
        <w:r>
          <w:rPr>
            <w:rStyle w:val="Czeindeksu"/>
            <w:rFonts w:cs="Arial" w:ascii="Arial" w:hAnsi="Arial"/>
            <w:vanish w:val="false"/>
            <w:sz w:val="20"/>
          </w:rPr>
          <w:tab/>
          <w:t>143</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60">
        <w:r>
          <w:rPr>
            <w:webHidden/>
            <w:rStyle w:val="Czeindeksu"/>
            <w:rFonts w:cs="Arial" w:ascii="Arial" w:hAnsi="Arial"/>
            <w:sz w:val="20"/>
          </w:rPr>
          <w:t>13.3</w:t>
        </w:r>
        <w:r>
          <w:rPr>
            <w:rStyle w:val="Czeindeksu"/>
            <w:rFonts w:eastAsia="" w:cs="Arial" w:ascii="Arial" w:hAnsi="Arial" w:eastAsiaTheme="minorEastAsia"/>
            <w:color w:val="00000A"/>
            <w:sz w:val="20"/>
          </w:rPr>
          <w:tab/>
        </w:r>
        <w:r>
          <w:rPr>
            <w:rStyle w:val="Czeindeksu"/>
            <w:rFonts w:cs="Arial" w:ascii="Arial" w:hAnsi="Arial"/>
            <w:sz w:val="20"/>
          </w:rPr>
          <w:t>Metody ochrony wód powierzchniowych, podziemnych</w:t>
        </w:r>
        <w:r>
          <w:rPr>
            <w:webHidden/>
          </w:rPr>
          <w:fldChar w:fldCharType="begin"/>
        </w:r>
        <w:r>
          <w:rPr>
            <w:webHidden/>
          </w:rPr>
          <w:instrText>PAGEREF _Toc518331360 \h</w:instrText>
        </w:r>
        <w:r>
          <w:rPr>
            <w:webHidden/>
          </w:rPr>
          <w:fldChar w:fldCharType="separate"/>
        </w:r>
        <w:r>
          <w:rPr>
            <w:rStyle w:val="Czeindeksu"/>
            <w:rFonts w:cs="Arial" w:ascii="Arial" w:hAnsi="Arial"/>
            <w:vanish w:val="false"/>
            <w:sz w:val="20"/>
          </w:rPr>
          <w:tab/>
          <w:t>143</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61">
        <w:r>
          <w:rPr>
            <w:webHidden/>
            <w:rStyle w:val="Czeindeksu"/>
            <w:rFonts w:cs="Arial" w:ascii="Arial" w:hAnsi="Arial"/>
            <w:sz w:val="20"/>
          </w:rPr>
          <w:t>13.4</w:t>
        </w:r>
        <w:r>
          <w:rPr>
            <w:rStyle w:val="Czeindeksu"/>
            <w:rFonts w:eastAsia="" w:cs="Arial" w:ascii="Arial" w:hAnsi="Arial" w:eastAsiaTheme="minorEastAsia"/>
            <w:color w:val="00000A"/>
            <w:sz w:val="20"/>
          </w:rPr>
          <w:tab/>
        </w:r>
        <w:r>
          <w:rPr>
            <w:rStyle w:val="Czeindeksu"/>
            <w:rFonts w:cs="Arial" w:ascii="Arial" w:hAnsi="Arial"/>
            <w:sz w:val="20"/>
          </w:rPr>
          <w:t>Metody ochrony środowiska gruntowo - wodnego</w:t>
        </w:r>
        <w:r>
          <w:rPr>
            <w:webHidden/>
          </w:rPr>
          <w:fldChar w:fldCharType="begin"/>
        </w:r>
        <w:r>
          <w:rPr>
            <w:webHidden/>
          </w:rPr>
          <w:instrText>PAGEREF _Toc518331361 \h</w:instrText>
        </w:r>
        <w:r>
          <w:rPr>
            <w:webHidden/>
          </w:rPr>
          <w:fldChar w:fldCharType="separate"/>
        </w:r>
        <w:r>
          <w:rPr>
            <w:rStyle w:val="Czeindeksu"/>
            <w:rFonts w:cs="Arial" w:ascii="Arial" w:hAnsi="Arial"/>
            <w:vanish w:val="false"/>
            <w:sz w:val="20"/>
          </w:rPr>
          <w:tab/>
          <w:t>144</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62">
        <w:r>
          <w:rPr>
            <w:webHidden/>
            <w:rStyle w:val="Czeindeksu"/>
            <w:rFonts w:cs="Arial" w:ascii="Arial" w:hAnsi="Arial"/>
            <w:sz w:val="20"/>
          </w:rPr>
          <w:t>13.5</w:t>
        </w:r>
        <w:r>
          <w:rPr>
            <w:rStyle w:val="Czeindeksu"/>
            <w:rFonts w:eastAsia="" w:cs="Arial" w:ascii="Arial" w:hAnsi="Arial" w:eastAsiaTheme="minorEastAsia"/>
            <w:color w:val="00000A"/>
            <w:sz w:val="20"/>
          </w:rPr>
          <w:tab/>
        </w:r>
        <w:r>
          <w:rPr>
            <w:rStyle w:val="Czeindeksu"/>
            <w:rFonts w:cs="Arial" w:ascii="Arial" w:hAnsi="Arial"/>
            <w:sz w:val="20"/>
          </w:rPr>
          <w:t>Metody ochrony związane z gospodarką odpadami</w:t>
        </w:r>
        <w:r>
          <w:rPr>
            <w:webHidden/>
          </w:rPr>
          <w:fldChar w:fldCharType="begin"/>
        </w:r>
        <w:r>
          <w:rPr>
            <w:webHidden/>
          </w:rPr>
          <w:instrText>PAGEREF _Toc518331362 \h</w:instrText>
        </w:r>
        <w:r>
          <w:rPr>
            <w:webHidden/>
          </w:rPr>
          <w:fldChar w:fldCharType="separate"/>
        </w:r>
        <w:r>
          <w:rPr>
            <w:rStyle w:val="Czeindeksu"/>
            <w:rFonts w:cs="Arial" w:ascii="Arial" w:hAnsi="Arial"/>
            <w:vanish w:val="false"/>
            <w:sz w:val="20"/>
          </w:rPr>
          <w:tab/>
          <w:t>145</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63">
        <w:r>
          <w:rPr>
            <w:webHidden/>
            <w:rStyle w:val="Czeindeksu"/>
            <w:rFonts w:cs="Arial" w:ascii="Arial" w:hAnsi="Arial"/>
            <w:sz w:val="20"/>
          </w:rPr>
          <w:t>13.6</w:t>
        </w:r>
        <w:r>
          <w:rPr>
            <w:rStyle w:val="Czeindeksu"/>
            <w:rFonts w:eastAsia="" w:cs="Arial" w:ascii="Arial" w:hAnsi="Arial" w:eastAsiaTheme="minorEastAsia"/>
            <w:color w:val="00000A"/>
            <w:sz w:val="20"/>
          </w:rPr>
          <w:tab/>
        </w:r>
        <w:r>
          <w:rPr>
            <w:rStyle w:val="Czeindeksu"/>
            <w:rFonts w:cs="Arial" w:ascii="Arial" w:hAnsi="Arial"/>
            <w:sz w:val="20"/>
          </w:rPr>
          <w:t>Metody ochrony przed promieniowaniem elektromagnetycznym</w:t>
        </w:r>
        <w:r>
          <w:rPr>
            <w:webHidden/>
          </w:rPr>
          <w:fldChar w:fldCharType="begin"/>
        </w:r>
        <w:r>
          <w:rPr>
            <w:webHidden/>
          </w:rPr>
          <w:instrText>PAGEREF _Toc518331363 \h</w:instrText>
        </w:r>
        <w:r>
          <w:rPr>
            <w:webHidden/>
          </w:rPr>
          <w:fldChar w:fldCharType="separate"/>
        </w:r>
        <w:r>
          <w:rPr>
            <w:rStyle w:val="Czeindeksu"/>
            <w:rFonts w:cs="Arial" w:ascii="Arial" w:hAnsi="Arial"/>
            <w:vanish w:val="false"/>
            <w:sz w:val="20"/>
          </w:rPr>
          <w:tab/>
          <w:t>145</w:t>
        </w:r>
        <w:r>
          <w:rPr>
            <w:webHidden/>
          </w:rPr>
          <w:fldChar w:fldCharType="end"/>
        </w:r>
      </w:hyperlink>
    </w:p>
    <w:p>
      <w:pPr>
        <w:pStyle w:val="Spistreci1"/>
        <w:rPr>
          <w:rFonts w:eastAsia="" w:eastAsiaTheme="minorEastAsia"/>
        </w:rPr>
      </w:pPr>
      <w:hyperlink w:anchor="_Toc518331364">
        <w:r>
          <w:rPr>
            <w:webHidden/>
            <w:rStyle w:val="Czeindeksu"/>
          </w:rPr>
          <w:t>14</w:t>
        </w:r>
        <w:r>
          <w:rPr>
            <w:rStyle w:val="Czeindeksu"/>
            <w:rFonts w:eastAsia="" w:eastAsiaTheme="minorEastAsia"/>
          </w:rPr>
          <w:tab/>
        </w:r>
        <w:r>
          <w:rPr>
            <w:rStyle w:val="Czeindeksu"/>
          </w:rPr>
          <w:t>WPŁYW PRZEDSIĘWZIĘCIA NA ZMIANY KLIMATU ORAZ ADAPTACJI DO ZMIAN KLIMATU</w:t>
        </w:r>
        <w:r>
          <w:rPr>
            <w:webHidden/>
          </w:rPr>
          <w:fldChar w:fldCharType="begin"/>
        </w:r>
        <w:r>
          <w:rPr>
            <w:webHidden/>
          </w:rPr>
          <w:instrText>PAGEREF _Toc518331364 \h</w:instrText>
        </w:r>
        <w:r>
          <w:rPr>
            <w:webHidden/>
          </w:rPr>
          <w:fldChar w:fldCharType="separate"/>
        </w:r>
        <w:r>
          <w:rPr>
            <w:rStyle w:val="Czeindeksu"/>
            <w:vanish w:val="false"/>
          </w:rPr>
          <w:tab/>
          <w:t>145</w:t>
        </w:r>
        <w:r>
          <w:rPr>
            <w:webHidden/>
          </w:rPr>
          <w:fldChar w:fldCharType="end"/>
        </w:r>
      </w:hyperlink>
    </w:p>
    <w:p>
      <w:pPr>
        <w:pStyle w:val="Spistreci1"/>
        <w:rPr>
          <w:rFonts w:eastAsia="" w:eastAsiaTheme="minorEastAsia"/>
        </w:rPr>
      </w:pPr>
      <w:hyperlink w:anchor="_Toc518331365">
        <w:r>
          <w:rPr>
            <w:webHidden/>
            <w:rStyle w:val="Czeindeksu"/>
          </w:rPr>
          <w:t>15</w:t>
        </w:r>
        <w:r>
          <w:rPr>
            <w:rStyle w:val="Czeindeksu"/>
            <w:rFonts w:eastAsia="" w:eastAsiaTheme="minorEastAsia"/>
          </w:rPr>
          <w:tab/>
        </w:r>
        <w:r>
          <w:rPr>
            <w:rStyle w:val="Czeindeksu"/>
          </w:rPr>
          <w:t>PORÓWNANIE PROPONOWANEJ TECHNOLOGII Z TECHNOLOGIĄ SPEŁNIAJĄCĄ WYMAGANIA, O KTÓRYCH MOWA W ART. 143 USTAWY Z DNIA 27 KWIETNIA 2001 R. - PRAWO OCHRONY ŚRODOWISKA</w:t>
        </w:r>
        <w:r>
          <w:rPr>
            <w:webHidden/>
          </w:rPr>
          <w:fldChar w:fldCharType="begin"/>
        </w:r>
        <w:r>
          <w:rPr>
            <w:webHidden/>
          </w:rPr>
          <w:instrText>PAGEREF _Toc518331365 \h</w:instrText>
        </w:r>
        <w:r>
          <w:rPr>
            <w:webHidden/>
          </w:rPr>
          <w:fldChar w:fldCharType="separate"/>
        </w:r>
        <w:r>
          <w:rPr>
            <w:rStyle w:val="Czeindeksu"/>
            <w:vanish w:val="false"/>
          </w:rPr>
          <w:tab/>
          <w:t>147</w:t>
        </w:r>
        <w:r>
          <w:rPr>
            <w:webHidden/>
          </w:rPr>
          <w:fldChar w:fldCharType="end"/>
        </w:r>
      </w:hyperlink>
    </w:p>
    <w:p>
      <w:pPr>
        <w:pStyle w:val="Spistreci1"/>
        <w:rPr>
          <w:rFonts w:eastAsia="" w:eastAsiaTheme="minorEastAsia"/>
        </w:rPr>
      </w:pPr>
      <w:hyperlink w:anchor="_Toc518331366">
        <w:r>
          <w:rPr>
            <w:webHidden/>
            <w:rStyle w:val="Czeindeksu"/>
          </w:rPr>
          <w:t>16</w:t>
        </w:r>
        <w:r>
          <w:rPr>
            <w:rStyle w:val="Czeindeksu"/>
            <w:rFonts w:eastAsia="" w:eastAsiaTheme="minorEastAsia"/>
          </w:rPr>
          <w:tab/>
        </w:r>
        <w:r>
          <w:rPr>
            <w:rStyle w:val="Czeindeksu"/>
          </w:rPr>
          <w:t>WSKAZANIE, CZY DLA PLANOWANEGO PRZEDSIĘWZIĘCIA JEST KONIECZNE USTANOWIENIE OBSZARU OGRANICZONEGO UŻYTKOWANIA W ROZUMIENIU PRZEPISÓW USTAWY Z DNIA 27 KWIETNIA 2001 R. - PRAWO OCHRONY ŚRODOWISKA, ORAZ OKREŚLENIE GRANIC TAKIEGO OBSZARU, OGRANICZEŃ W ZAKRESIE PRZEZNACZENIA TERENU, WYMAGAŃ TECHNICZNYCH DOTYCZĄCYCH OBIEKTÓW BUDOWLANYCH I SPOSOBÓW KORZYSTANIA Z NICH</w:t>
        </w:r>
        <w:r>
          <w:rPr>
            <w:webHidden/>
          </w:rPr>
          <w:fldChar w:fldCharType="begin"/>
        </w:r>
        <w:r>
          <w:rPr>
            <w:webHidden/>
          </w:rPr>
          <w:instrText>PAGEREF _Toc518331366 \h</w:instrText>
        </w:r>
        <w:r>
          <w:rPr>
            <w:webHidden/>
          </w:rPr>
          <w:fldChar w:fldCharType="separate"/>
        </w:r>
        <w:r>
          <w:rPr>
            <w:rStyle w:val="Czeindeksu"/>
            <w:vanish w:val="false"/>
          </w:rPr>
          <w:tab/>
          <w:t>150</w:t>
        </w:r>
        <w:r>
          <w:rPr>
            <w:webHidden/>
          </w:rPr>
          <w:fldChar w:fldCharType="end"/>
        </w:r>
      </w:hyperlink>
    </w:p>
    <w:p>
      <w:pPr>
        <w:pStyle w:val="Spistreci1"/>
        <w:rPr>
          <w:rFonts w:eastAsia="" w:eastAsiaTheme="minorEastAsia"/>
        </w:rPr>
      </w:pPr>
      <w:hyperlink w:anchor="_Toc518331367">
        <w:r>
          <w:rPr>
            <w:webHidden/>
            <w:rStyle w:val="Czeindeksu"/>
          </w:rPr>
          <w:t>17</w:t>
        </w:r>
        <w:r>
          <w:rPr>
            <w:rStyle w:val="Czeindeksu"/>
            <w:rFonts w:eastAsia="" w:eastAsiaTheme="minorEastAsia"/>
          </w:rPr>
          <w:tab/>
        </w:r>
        <w:r>
          <w:rPr>
            <w:rStyle w:val="Czeindeksu"/>
          </w:rPr>
          <w:t>ANALIZA MOŻLIWYCH KONFLIKTÓW SPOŁECZNYCH ZWIĄZANYCH Z PLANOWANYM PRZEDSIĘWZIĘCIEM</w:t>
        </w:r>
        <w:r>
          <w:rPr>
            <w:webHidden/>
          </w:rPr>
          <w:fldChar w:fldCharType="begin"/>
        </w:r>
        <w:r>
          <w:rPr>
            <w:webHidden/>
          </w:rPr>
          <w:instrText>PAGEREF _Toc518331367 \h</w:instrText>
        </w:r>
        <w:r>
          <w:rPr>
            <w:webHidden/>
          </w:rPr>
          <w:fldChar w:fldCharType="separate"/>
        </w:r>
        <w:r>
          <w:rPr>
            <w:rStyle w:val="Czeindeksu"/>
            <w:vanish w:val="false"/>
          </w:rPr>
          <w:tab/>
          <w:t>151</w:t>
        </w:r>
        <w:r>
          <w:rPr>
            <w:webHidden/>
          </w:rPr>
          <w:fldChar w:fldCharType="end"/>
        </w:r>
      </w:hyperlink>
    </w:p>
    <w:p>
      <w:pPr>
        <w:pStyle w:val="Spistreci1"/>
        <w:rPr>
          <w:rFonts w:eastAsia="" w:eastAsiaTheme="minorEastAsia"/>
        </w:rPr>
      </w:pPr>
      <w:hyperlink w:anchor="_Toc518331368">
        <w:r>
          <w:rPr>
            <w:webHidden/>
            <w:rStyle w:val="Czeindeksu"/>
          </w:rPr>
          <w:t>18</w:t>
        </w:r>
        <w:r>
          <w:rPr>
            <w:rStyle w:val="Czeindeksu"/>
            <w:rFonts w:eastAsia="" w:eastAsiaTheme="minorEastAsia"/>
          </w:rPr>
          <w:tab/>
        </w:r>
        <w:r>
          <w:rPr>
            <w:rStyle w:val="Czeindeksu"/>
          </w:rPr>
          <w:t>PRZEDSTAWIENIE PROPOZYCJI MONITORINGU ODDZIAŁYWANIA PLANOWANEGO PRZEDSIĘWZIĘCIA NA ETAPIE JEGO BUDOWY I EKSPLOATACJI LUB UŻYTKOWANIA, W SZCZEGÓLNOŚCI NA CELE I PRZEDMIOT OCHRONY OBSZARU NATURA 2000 ORAZ INTEGRALNOŚĆ TEGO OBSZARU</w:t>
        </w:r>
        <w:r>
          <w:rPr>
            <w:webHidden/>
          </w:rPr>
          <w:fldChar w:fldCharType="begin"/>
        </w:r>
        <w:r>
          <w:rPr>
            <w:webHidden/>
          </w:rPr>
          <w:instrText>PAGEREF _Toc518331368 \h</w:instrText>
        </w:r>
        <w:r>
          <w:rPr>
            <w:webHidden/>
          </w:rPr>
          <w:fldChar w:fldCharType="separate"/>
        </w:r>
        <w:r>
          <w:rPr>
            <w:rStyle w:val="Czeindeksu"/>
            <w:vanish w:val="false"/>
          </w:rPr>
          <w:tab/>
          <w:t>152</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369">
        <w:r>
          <w:rPr>
            <w:webHidden/>
            <w:rStyle w:val="Czeindeksu"/>
            <w:rFonts w:cs="Arial" w:ascii="Arial" w:hAnsi="Arial"/>
            <w:sz w:val="20"/>
          </w:rPr>
          <w:t>18.1</w:t>
        </w:r>
        <w:r>
          <w:rPr>
            <w:rStyle w:val="Czeindeksu"/>
            <w:rFonts w:eastAsia="" w:cs="Arial" w:ascii="Arial" w:hAnsi="Arial" w:eastAsiaTheme="minorEastAsia"/>
            <w:color w:val="00000A"/>
            <w:sz w:val="20"/>
          </w:rPr>
          <w:tab/>
        </w:r>
        <w:r>
          <w:rPr>
            <w:rStyle w:val="Czeindeksu"/>
            <w:rFonts w:cs="Arial" w:ascii="Arial" w:hAnsi="Arial"/>
            <w:sz w:val="20"/>
          </w:rPr>
          <w:t>Przedstawienie propozycji monitoringu oddziaływania planowanego przedsięwzięcia na etapie realizacji</w:t>
        </w:r>
        <w:r>
          <w:rPr>
            <w:webHidden/>
          </w:rPr>
          <w:fldChar w:fldCharType="begin"/>
        </w:r>
        <w:r>
          <w:rPr>
            <w:webHidden/>
          </w:rPr>
          <w:instrText>PAGEREF _Toc518331369 \h</w:instrText>
        </w:r>
        <w:r>
          <w:rPr>
            <w:webHidden/>
          </w:rPr>
          <w:fldChar w:fldCharType="separate"/>
        </w:r>
        <w:r>
          <w:rPr>
            <w:rStyle w:val="Czeindeksu"/>
            <w:rFonts w:cs="Arial" w:ascii="Arial" w:hAnsi="Arial"/>
            <w:vanish w:val="false"/>
            <w:sz w:val="20"/>
          </w:rPr>
          <w:tab/>
          <w:t>152</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370">
        <w:r>
          <w:rPr>
            <w:webHidden/>
            <w:rStyle w:val="Czeindeksu"/>
            <w:rFonts w:cs="Arial" w:ascii="Arial" w:hAnsi="Arial"/>
            <w:sz w:val="20"/>
          </w:rPr>
          <w:t>18.2</w:t>
        </w:r>
        <w:r>
          <w:rPr>
            <w:rStyle w:val="Czeindeksu"/>
            <w:rFonts w:eastAsia="" w:cs="Arial" w:ascii="Arial" w:hAnsi="Arial" w:eastAsiaTheme="minorEastAsia"/>
            <w:color w:val="00000A"/>
            <w:sz w:val="20"/>
          </w:rPr>
          <w:tab/>
        </w:r>
        <w:r>
          <w:rPr>
            <w:rStyle w:val="Czeindeksu"/>
            <w:rFonts w:cs="Arial" w:ascii="Arial" w:hAnsi="Arial"/>
            <w:sz w:val="20"/>
          </w:rPr>
          <w:t>Przedstawienie propozycji monitoringu oddziaływania planowanego przedsięwzięcia na etapie eksploatacji</w:t>
        </w:r>
        <w:r>
          <w:rPr>
            <w:webHidden/>
          </w:rPr>
          <w:fldChar w:fldCharType="begin"/>
        </w:r>
        <w:r>
          <w:rPr>
            <w:webHidden/>
          </w:rPr>
          <w:instrText>PAGEREF _Toc518331370 \h</w:instrText>
        </w:r>
        <w:r>
          <w:rPr>
            <w:webHidden/>
          </w:rPr>
          <w:fldChar w:fldCharType="separate"/>
        </w:r>
        <w:r>
          <w:rPr>
            <w:rStyle w:val="Czeindeksu"/>
            <w:rFonts w:cs="Arial" w:ascii="Arial" w:hAnsi="Arial"/>
            <w:vanish w:val="false"/>
            <w:sz w:val="20"/>
          </w:rPr>
          <w:tab/>
          <w:t>153</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1">
        <w:r>
          <w:rPr>
            <w:webHidden/>
            <w:rStyle w:val="Czeindeksu"/>
            <w:rFonts w:cs="Arial" w:ascii="Arial" w:hAnsi="Arial"/>
            <w:sz w:val="20"/>
          </w:rPr>
          <w:t>18.2.1</w:t>
        </w:r>
        <w:r>
          <w:rPr>
            <w:rStyle w:val="Czeindeksu"/>
            <w:rFonts w:eastAsia="" w:cs="Arial" w:ascii="Arial" w:hAnsi="Arial" w:eastAsiaTheme="minorEastAsia"/>
            <w:color w:val="00000A"/>
            <w:sz w:val="20"/>
          </w:rPr>
          <w:tab/>
        </w:r>
        <w:r>
          <w:rPr>
            <w:rStyle w:val="Czeindeksu"/>
            <w:rFonts w:cs="Arial" w:ascii="Arial" w:hAnsi="Arial"/>
            <w:sz w:val="20"/>
          </w:rPr>
          <w:t>Monitoring parametrów procesowych</w:t>
        </w:r>
        <w:r>
          <w:rPr>
            <w:webHidden/>
          </w:rPr>
          <w:fldChar w:fldCharType="begin"/>
        </w:r>
        <w:r>
          <w:rPr>
            <w:webHidden/>
          </w:rPr>
          <w:instrText>PAGEREF _Toc518331371 \h</w:instrText>
        </w:r>
        <w:r>
          <w:rPr>
            <w:webHidden/>
          </w:rPr>
          <w:fldChar w:fldCharType="separate"/>
        </w:r>
        <w:r>
          <w:rPr>
            <w:rStyle w:val="Czeindeksu"/>
            <w:rFonts w:cs="Arial" w:ascii="Arial" w:hAnsi="Arial"/>
            <w:vanish w:val="false"/>
            <w:sz w:val="20"/>
          </w:rPr>
          <w:tab/>
          <w:t>153</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2">
        <w:r>
          <w:rPr>
            <w:webHidden/>
            <w:rStyle w:val="Czeindeksu"/>
            <w:rFonts w:cs="Arial" w:ascii="Arial" w:hAnsi="Arial"/>
            <w:sz w:val="20"/>
          </w:rPr>
          <w:t>18.2.2</w:t>
        </w:r>
        <w:r>
          <w:rPr>
            <w:rStyle w:val="Czeindeksu"/>
            <w:rFonts w:eastAsia="" w:cs="Arial" w:ascii="Arial" w:hAnsi="Arial" w:eastAsiaTheme="minorEastAsia"/>
            <w:color w:val="00000A"/>
            <w:sz w:val="20"/>
          </w:rPr>
          <w:tab/>
        </w:r>
        <w:r>
          <w:rPr>
            <w:rStyle w:val="Czeindeksu"/>
            <w:rFonts w:cs="Arial" w:ascii="Arial" w:hAnsi="Arial"/>
            <w:sz w:val="20"/>
          </w:rPr>
          <w:t>Monitoring emisji do powietrza</w:t>
        </w:r>
        <w:r>
          <w:rPr>
            <w:webHidden/>
          </w:rPr>
          <w:fldChar w:fldCharType="begin"/>
        </w:r>
        <w:r>
          <w:rPr>
            <w:webHidden/>
          </w:rPr>
          <w:instrText>PAGEREF _Toc518331372 \h</w:instrText>
        </w:r>
        <w:r>
          <w:rPr>
            <w:webHidden/>
          </w:rPr>
          <w:fldChar w:fldCharType="separate"/>
        </w:r>
        <w:r>
          <w:rPr>
            <w:rStyle w:val="Czeindeksu"/>
            <w:rFonts w:cs="Arial" w:ascii="Arial" w:hAnsi="Arial"/>
            <w:vanish w:val="false"/>
            <w:sz w:val="20"/>
          </w:rPr>
          <w:tab/>
          <w:t>154</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3">
        <w:r>
          <w:rPr>
            <w:webHidden/>
            <w:rStyle w:val="Czeindeksu"/>
            <w:rFonts w:cs="Arial" w:ascii="Arial" w:hAnsi="Arial"/>
            <w:sz w:val="20"/>
          </w:rPr>
          <w:t>18.2.3</w:t>
        </w:r>
        <w:r>
          <w:rPr>
            <w:rStyle w:val="Czeindeksu"/>
            <w:rFonts w:eastAsia="" w:cs="Arial" w:ascii="Arial" w:hAnsi="Arial" w:eastAsiaTheme="minorEastAsia"/>
            <w:color w:val="00000A"/>
            <w:sz w:val="20"/>
          </w:rPr>
          <w:tab/>
        </w:r>
        <w:r>
          <w:rPr>
            <w:rStyle w:val="Czeindeksu"/>
            <w:rFonts w:cs="Arial" w:ascii="Arial" w:hAnsi="Arial"/>
            <w:sz w:val="20"/>
          </w:rPr>
          <w:t>Monitoring hałasu</w:t>
        </w:r>
        <w:r>
          <w:rPr>
            <w:webHidden/>
          </w:rPr>
          <w:fldChar w:fldCharType="begin"/>
        </w:r>
        <w:r>
          <w:rPr>
            <w:webHidden/>
          </w:rPr>
          <w:instrText>PAGEREF _Toc518331373 \h</w:instrText>
        </w:r>
        <w:r>
          <w:rPr>
            <w:webHidden/>
          </w:rPr>
          <w:fldChar w:fldCharType="separate"/>
        </w:r>
        <w:r>
          <w:rPr>
            <w:rStyle w:val="Czeindeksu"/>
            <w:rFonts w:cs="Arial" w:ascii="Arial" w:hAnsi="Arial"/>
            <w:vanish w:val="false"/>
            <w:sz w:val="20"/>
          </w:rPr>
          <w:tab/>
          <w:t>156</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4">
        <w:r>
          <w:rPr>
            <w:webHidden/>
            <w:rStyle w:val="Czeindeksu"/>
            <w:rFonts w:cs="Arial" w:ascii="Arial" w:hAnsi="Arial"/>
            <w:sz w:val="20"/>
          </w:rPr>
          <w:t>18.2.4</w:t>
        </w:r>
        <w:r>
          <w:rPr>
            <w:rStyle w:val="Czeindeksu"/>
            <w:rFonts w:eastAsia="" w:cs="Arial" w:ascii="Arial" w:hAnsi="Arial" w:eastAsiaTheme="minorEastAsia"/>
            <w:color w:val="00000A"/>
            <w:sz w:val="20"/>
          </w:rPr>
          <w:tab/>
        </w:r>
        <w:r>
          <w:rPr>
            <w:rStyle w:val="Czeindeksu"/>
            <w:rFonts w:cs="Arial" w:ascii="Arial" w:hAnsi="Arial"/>
            <w:sz w:val="20"/>
          </w:rPr>
          <w:t>Monitoring odpadów</w:t>
        </w:r>
        <w:r>
          <w:rPr>
            <w:webHidden/>
          </w:rPr>
          <w:fldChar w:fldCharType="begin"/>
        </w:r>
        <w:r>
          <w:rPr>
            <w:webHidden/>
          </w:rPr>
          <w:instrText>PAGEREF _Toc518331374 \h</w:instrText>
        </w:r>
        <w:r>
          <w:rPr>
            <w:webHidden/>
          </w:rPr>
          <w:fldChar w:fldCharType="separate"/>
        </w:r>
        <w:r>
          <w:rPr>
            <w:rStyle w:val="Czeindeksu"/>
            <w:rFonts w:cs="Arial" w:ascii="Arial" w:hAnsi="Arial"/>
            <w:vanish w:val="false"/>
            <w:sz w:val="20"/>
          </w:rPr>
          <w:tab/>
          <w:t>157</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5">
        <w:r>
          <w:rPr>
            <w:webHidden/>
            <w:rStyle w:val="Czeindeksu"/>
            <w:rFonts w:cs="Arial" w:ascii="Arial" w:hAnsi="Arial"/>
            <w:sz w:val="20"/>
          </w:rPr>
          <w:t>18.2.5</w:t>
        </w:r>
        <w:r>
          <w:rPr>
            <w:rStyle w:val="Czeindeksu"/>
            <w:rFonts w:eastAsia="" w:cs="Arial" w:ascii="Arial" w:hAnsi="Arial" w:eastAsiaTheme="minorEastAsia"/>
            <w:color w:val="00000A"/>
            <w:sz w:val="20"/>
          </w:rPr>
          <w:tab/>
        </w:r>
        <w:r>
          <w:rPr>
            <w:rStyle w:val="Czeindeksu"/>
            <w:rFonts w:cs="Arial" w:ascii="Arial" w:hAnsi="Arial"/>
            <w:sz w:val="20"/>
          </w:rPr>
          <w:t>Monitoring poboru wody i odprowadzanych ścieków</w:t>
        </w:r>
        <w:r>
          <w:rPr>
            <w:webHidden/>
          </w:rPr>
          <w:fldChar w:fldCharType="begin"/>
        </w:r>
        <w:r>
          <w:rPr>
            <w:webHidden/>
          </w:rPr>
          <w:instrText>PAGEREF _Toc518331375 \h</w:instrText>
        </w:r>
        <w:r>
          <w:rPr>
            <w:webHidden/>
          </w:rPr>
          <w:fldChar w:fldCharType="separate"/>
        </w:r>
        <w:r>
          <w:rPr>
            <w:rStyle w:val="Czeindeksu"/>
            <w:rFonts w:cs="Arial" w:ascii="Arial" w:hAnsi="Arial"/>
            <w:vanish w:val="false"/>
            <w:sz w:val="20"/>
          </w:rPr>
          <w:tab/>
          <w:t>157</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6">
        <w:r>
          <w:rPr>
            <w:webHidden/>
            <w:rStyle w:val="Czeindeksu"/>
            <w:rFonts w:cs="Arial" w:ascii="Arial" w:hAnsi="Arial"/>
            <w:sz w:val="20"/>
          </w:rPr>
          <w:t>18.2.6</w:t>
        </w:r>
        <w:r>
          <w:rPr>
            <w:rStyle w:val="Czeindeksu"/>
            <w:rFonts w:eastAsia="" w:cs="Arial" w:ascii="Arial" w:hAnsi="Arial" w:eastAsiaTheme="minorEastAsia"/>
            <w:color w:val="00000A"/>
            <w:sz w:val="20"/>
          </w:rPr>
          <w:tab/>
        </w:r>
        <w:r>
          <w:rPr>
            <w:rStyle w:val="Czeindeksu"/>
            <w:rFonts w:cs="Arial" w:ascii="Arial" w:hAnsi="Arial"/>
            <w:sz w:val="20"/>
          </w:rPr>
          <w:t>Monitoring wód powierzchniowych</w:t>
        </w:r>
        <w:r>
          <w:rPr>
            <w:webHidden/>
          </w:rPr>
          <w:fldChar w:fldCharType="begin"/>
        </w:r>
        <w:r>
          <w:rPr>
            <w:webHidden/>
          </w:rPr>
          <w:instrText>PAGEREF _Toc518331376 \h</w:instrText>
        </w:r>
        <w:r>
          <w:rPr>
            <w:webHidden/>
          </w:rPr>
          <w:fldChar w:fldCharType="separate"/>
        </w:r>
        <w:r>
          <w:rPr>
            <w:rStyle w:val="Czeindeksu"/>
            <w:rFonts w:cs="Arial" w:ascii="Arial" w:hAnsi="Arial"/>
            <w:vanish w:val="false"/>
            <w:sz w:val="20"/>
          </w:rPr>
          <w:tab/>
          <w:t>158</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7">
        <w:r>
          <w:rPr>
            <w:webHidden/>
            <w:rStyle w:val="Czeindeksu"/>
            <w:rFonts w:cs="Arial" w:ascii="Arial" w:hAnsi="Arial"/>
            <w:sz w:val="20"/>
          </w:rPr>
          <w:t>18.2.7</w:t>
        </w:r>
        <w:r>
          <w:rPr>
            <w:rStyle w:val="Czeindeksu"/>
            <w:rFonts w:eastAsia="" w:cs="Arial" w:ascii="Arial" w:hAnsi="Arial" w:eastAsiaTheme="minorEastAsia"/>
            <w:color w:val="00000A"/>
            <w:sz w:val="20"/>
          </w:rPr>
          <w:tab/>
        </w:r>
        <w:r>
          <w:rPr>
            <w:rStyle w:val="Czeindeksu"/>
            <w:rFonts w:cs="Arial" w:ascii="Arial" w:hAnsi="Arial"/>
            <w:sz w:val="20"/>
          </w:rPr>
          <w:t>Monitoring gleb i wód podziemnych</w:t>
        </w:r>
        <w:r>
          <w:rPr>
            <w:webHidden/>
          </w:rPr>
          <w:fldChar w:fldCharType="begin"/>
        </w:r>
        <w:r>
          <w:rPr>
            <w:webHidden/>
          </w:rPr>
          <w:instrText>PAGEREF _Toc518331377 \h</w:instrText>
        </w:r>
        <w:r>
          <w:rPr>
            <w:webHidden/>
          </w:rPr>
          <w:fldChar w:fldCharType="separate"/>
        </w:r>
        <w:r>
          <w:rPr>
            <w:rStyle w:val="Czeindeksu"/>
            <w:rFonts w:cs="Arial" w:ascii="Arial" w:hAnsi="Arial"/>
            <w:vanish w:val="false"/>
            <w:sz w:val="20"/>
          </w:rPr>
          <w:tab/>
          <w:t>158</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78">
        <w:r>
          <w:rPr>
            <w:webHidden/>
            <w:rStyle w:val="Czeindeksu"/>
            <w:rFonts w:cs="Arial" w:ascii="Arial" w:hAnsi="Arial"/>
            <w:sz w:val="20"/>
          </w:rPr>
          <w:t>18.3</w:t>
        </w:r>
        <w:r>
          <w:rPr>
            <w:rStyle w:val="Czeindeksu"/>
            <w:rFonts w:eastAsia="" w:cs="Arial" w:ascii="Arial" w:hAnsi="Arial" w:eastAsiaTheme="minorEastAsia"/>
            <w:color w:val="00000A"/>
            <w:sz w:val="20"/>
          </w:rPr>
          <w:tab/>
        </w:r>
        <w:r>
          <w:rPr>
            <w:rStyle w:val="Czeindeksu"/>
            <w:rFonts w:cs="Arial" w:ascii="Arial" w:hAnsi="Arial"/>
            <w:sz w:val="20"/>
          </w:rPr>
          <w:t>Etap likwidacji</w:t>
        </w:r>
        <w:r>
          <w:rPr>
            <w:webHidden/>
          </w:rPr>
          <w:fldChar w:fldCharType="begin"/>
        </w:r>
        <w:r>
          <w:rPr>
            <w:webHidden/>
          </w:rPr>
          <w:instrText>PAGEREF _Toc518331378 \h</w:instrText>
        </w:r>
        <w:r>
          <w:rPr>
            <w:webHidden/>
          </w:rPr>
          <w:fldChar w:fldCharType="separate"/>
        </w:r>
        <w:r>
          <w:rPr>
            <w:rStyle w:val="Czeindeksu"/>
            <w:rFonts w:cs="Arial" w:ascii="Arial" w:hAnsi="Arial"/>
            <w:vanish w:val="false"/>
            <w:sz w:val="20"/>
          </w:rPr>
          <w:tab/>
          <w:t>158</w:t>
        </w:r>
        <w:r>
          <w:rPr>
            <w:webHidden/>
          </w:rPr>
          <w:fldChar w:fldCharType="end"/>
        </w:r>
      </w:hyperlink>
    </w:p>
    <w:p>
      <w:pPr>
        <w:pStyle w:val="Spistreci1"/>
        <w:rPr>
          <w:rFonts w:eastAsia="" w:eastAsiaTheme="minorEastAsia"/>
        </w:rPr>
      </w:pPr>
      <w:hyperlink w:anchor="_Toc518331379">
        <w:r>
          <w:rPr>
            <w:webHidden/>
            <w:rStyle w:val="Czeindeksu"/>
          </w:rPr>
          <w:t>19</w:t>
        </w:r>
        <w:r>
          <w:rPr>
            <w:rStyle w:val="Czeindeksu"/>
            <w:rFonts w:eastAsia="" w:eastAsiaTheme="minorEastAsia"/>
          </w:rPr>
          <w:tab/>
        </w:r>
        <w:r>
          <w:rPr>
            <w:rStyle w:val="Czeindeksu"/>
          </w:rPr>
          <w:t>WSKAZANIE TRUDNOŚCI WYNIKAJĄCYCH Z NIEDOSTATKÓW TECHNIKI LUB LUK WE WSPÓŁCZESNEJ WIEDZY, JAKIE NAPOTKANO, OPRACOWUJĄC RAPORT</w:t>
        </w:r>
        <w:r>
          <w:rPr>
            <w:webHidden/>
          </w:rPr>
          <w:fldChar w:fldCharType="begin"/>
        </w:r>
        <w:r>
          <w:rPr>
            <w:webHidden/>
          </w:rPr>
          <w:instrText>PAGEREF _Toc518331379 \h</w:instrText>
        </w:r>
        <w:r>
          <w:rPr>
            <w:webHidden/>
          </w:rPr>
          <w:fldChar w:fldCharType="separate"/>
        </w:r>
        <w:r>
          <w:rPr>
            <w:rStyle w:val="Czeindeksu"/>
            <w:vanish w:val="false"/>
          </w:rPr>
          <w:tab/>
          <w:t>159</w:t>
        </w:r>
        <w:r>
          <w:rPr>
            <w:webHidden/>
          </w:rPr>
          <w:fldChar w:fldCharType="end"/>
        </w:r>
      </w:hyperlink>
    </w:p>
    <w:p>
      <w:pPr>
        <w:pStyle w:val="Spistreci1"/>
        <w:rPr>
          <w:rFonts w:eastAsia="" w:eastAsiaTheme="minorEastAsia"/>
        </w:rPr>
      </w:pPr>
      <w:hyperlink w:anchor="_Toc518331380">
        <w:r>
          <w:rPr>
            <w:webHidden/>
            <w:rStyle w:val="Czeindeksu"/>
          </w:rPr>
          <w:t>20</w:t>
        </w:r>
        <w:r>
          <w:rPr>
            <w:rStyle w:val="Czeindeksu"/>
            <w:rFonts w:eastAsia="" w:eastAsiaTheme="minorEastAsia"/>
          </w:rPr>
          <w:tab/>
        </w:r>
        <w:r>
          <w:rPr>
            <w:rStyle w:val="Czeindeksu"/>
          </w:rPr>
          <w:t>STRESZCZENIE W JĘZYKU NIESPECJALISTYCZNYM INFORMACJI ZAWARTYCH W RAPORCIE, W ODNIESIENIU DO KAŻDEGO ELEMENTU RAPORTU</w:t>
        </w:r>
        <w:r>
          <w:rPr>
            <w:webHidden/>
          </w:rPr>
          <w:fldChar w:fldCharType="begin"/>
        </w:r>
        <w:r>
          <w:rPr>
            <w:webHidden/>
          </w:rPr>
          <w:instrText>PAGEREF _Toc518331380 \h</w:instrText>
        </w:r>
        <w:r>
          <w:rPr>
            <w:webHidden/>
          </w:rPr>
          <w:fldChar w:fldCharType="separate"/>
        </w:r>
        <w:r>
          <w:rPr>
            <w:rStyle w:val="Czeindeksu"/>
            <w:vanish w:val="false"/>
          </w:rPr>
          <w:tab/>
          <w:t>160</w:t>
        </w:r>
        <w:r>
          <w:rPr>
            <w:webHidden/>
          </w:rPr>
          <w:fldChar w:fldCharType="end"/>
        </w:r>
      </w:hyperlink>
    </w:p>
    <w:p>
      <w:pPr>
        <w:pStyle w:val="Spistreci1"/>
        <w:rPr>
          <w:rFonts w:eastAsia="" w:eastAsiaTheme="minorEastAsia"/>
        </w:rPr>
      </w:pPr>
      <w:hyperlink w:anchor="_Toc518331381">
        <w:r>
          <w:rPr>
            <w:webHidden/>
            <w:rStyle w:val="Czeindeksu"/>
          </w:rPr>
          <w:t>21</w:t>
        </w:r>
        <w:r>
          <w:rPr>
            <w:rStyle w:val="Czeindeksu"/>
            <w:rFonts w:eastAsia="" w:eastAsiaTheme="minorEastAsia"/>
          </w:rPr>
          <w:tab/>
        </w:r>
        <w:r>
          <w:rPr>
            <w:rStyle w:val="Czeindeksu"/>
          </w:rPr>
          <w:t>ŹRÓDŁA INFORMACJI STANOWIĄCE PODSTAWĘ DO SPORZĄDZENIA RAPORTU</w:t>
        </w:r>
        <w:r>
          <w:rPr>
            <w:webHidden/>
          </w:rPr>
          <w:fldChar w:fldCharType="begin"/>
        </w:r>
        <w:r>
          <w:rPr>
            <w:webHidden/>
          </w:rPr>
          <w:instrText>PAGEREF _Toc518331381 \h</w:instrText>
        </w:r>
        <w:r>
          <w:rPr>
            <w:webHidden/>
          </w:rPr>
          <w:fldChar w:fldCharType="separate"/>
        </w:r>
        <w:r>
          <w:rPr>
            <w:rStyle w:val="Czeindeksu"/>
            <w:vanish w:val="false"/>
          </w:rPr>
          <w:tab/>
          <w:t>164</w:t>
        </w:r>
        <w:r>
          <w:rPr>
            <w:webHidden/>
          </w:rPr>
          <w:fldChar w:fldCharType="end"/>
        </w:r>
      </w:hyperlink>
    </w:p>
    <w:p>
      <w:pPr>
        <w:pStyle w:val="Normal"/>
        <w:tabs>
          <w:tab w:val="right" w:pos="9356" w:leader="dot"/>
        </w:tabs>
        <w:ind w:right="-2" w:firstLine="397"/>
        <w:jc w:val="left"/>
        <w:rPr/>
      </w:pPr>
      <w:r>
        <w:rPr/>
      </w:r>
      <w:r>
        <w:fldChar w:fldCharType="end"/>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agwek1"/>
        <w:numPr>
          <w:ilvl w:val="0"/>
          <w:numId w:val="2"/>
        </w:numPr>
        <w:rPr/>
      </w:pPr>
      <w:bookmarkStart w:id="0" w:name="_Toc518331263"/>
      <w:r>
        <w:rPr/>
        <w:t>WPROWADZENIE</w:t>
      </w:r>
      <w:bookmarkEnd w:id="0"/>
      <w:r>
        <w:rPr/>
        <w:t xml:space="preserve"> </w:t>
      </w:r>
    </w:p>
    <w:p>
      <w:pPr>
        <w:pStyle w:val="Nagwek2"/>
        <w:numPr>
          <w:ilvl w:val="1"/>
          <w:numId w:val="2"/>
        </w:numPr>
        <w:ind w:hanging="578"/>
        <w:rPr/>
      </w:pPr>
      <w:bookmarkStart w:id="1" w:name="_Toc518331264"/>
      <w:r>
        <w:rPr/>
        <w:t>Przedsięwzięcie inwestycyjne</w:t>
      </w:r>
      <w:bookmarkEnd w:id="1"/>
      <w:r>
        <w:rPr/>
        <w:t xml:space="preserve"> </w:t>
      </w:r>
    </w:p>
    <w:p>
      <w:pPr>
        <w:pStyle w:val="Normal"/>
        <w:rPr>
          <w:color w:val="00000A"/>
          <w:szCs w:val="24"/>
        </w:rPr>
      </w:pPr>
      <w:r>
        <w:rPr>
          <w:color w:val="00000A"/>
          <w:szCs w:val="24"/>
        </w:rPr>
        <w:t xml:space="preserve">Niniejszy raport dotyczy przedsięwzięcia polegającego na budowie ciepłowni na biomasę i paliwo alternatywne (RDF) o mocy użytkowej 5 MW, zlokalizowanego w Żywcu, przy ul. Kabaty, na działce o nr ew. 1019/140 obręb 0007 Żywiec. </w:t>
      </w:r>
    </w:p>
    <w:p>
      <w:pPr>
        <w:pStyle w:val="Normal"/>
        <w:rPr>
          <w:color w:val="00000A"/>
          <w:szCs w:val="24"/>
        </w:rPr>
      </w:pPr>
      <w:r>
        <w:rPr>
          <w:color w:val="00000A"/>
          <w:szCs w:val="24"/>
        </w:rPr>
        <w:t>Projekt ma przyczynić się do osiągnięcia polskich i europejskich standardów oraz norm ochrony środowiska dotyczących gospodarki odpadami. Poprzez ich realizację możliwe będzie osiągnięcie poprawy stanu środowiska, zwiększenie poziomu odzysku frakcji palnej odpadów, częściowe zastąpienie paliw kopalnych paliwem alternatywnym, wdrożenie najlepszej dostępnej techniki do termicznego przekształcania odpadów, a także częściowa dywersyfikacja dostawy ciepła do zakładów przemysłowych i odbiorców indywidualnych.</w:t>
      </w:r>
    </w:p>
    <w:p>
      <w:pPr>
        <w:pStyle w:val="Normal"/>
        <w:rPr>
          <w:color w:val="00000A"/>
          <w:szCs w:val="24"/>
        </w:rPr>
      </w:pPr>
      <w:r>
        <w:rPr>
          <w:color w:val="00000A"/>
          <w:szCs w:val="24"/>
        </w:rPr>
        <w:t>Inwestor pokłada wielką nadzieję w to, że planowane przedsięwzięcie jest jednym z działań, które przyczynią się do poprawy jakości powietrza na terenie miasta Żywca.</w:t>
      </w:r>
    </w:p>
    <w:p>
      <w:pPr>
        <w:pStyle w:val="Normal"/>
        <w:rPr>
          <w:b/>
          <w:b/>
          <w:color w:val="00000A"/>
          <w:szCs w:val="24"/>
        </w:rPr>
      </w:pPr>
      <w:r>
        <w:rPr>
          <w:b/>
          <w:color w:val="00000A"/>
          <w:szCs w:val="24"/>
        </w:rPr>
      </w:r>
    </w:p>
    <w:p>
      <w:pPr>
        <w:pStyle w:val="Nagwek2"/>
        <w:numPr>
          <w:ilvl w:val="1"/>
          <w:numId w:val="2"/>
        </w:numPr>
        <w:ind w:hanging="578"/>
        <w:rPr/>
      </w:pPr>
      <w:bookmarkStart w:id="2" w:name="_Toc518331265"/>
      <w:r>
        <w:rPr/>
        <w:t>Klasyfikacja przedsięwzięcia</w:t>
      </w:r>
      <w:bookmarkEnd w:id="2"/>
      <w:r>
        <w:rPr/>
        <w:t xml:space="preserve"> </w:t>
      </w:r>
    </w:p>
    <w:p>
      <w:pPr>
        <w:pStyle w:val="Normal"/>
        <w:rPr>
          <w:szCs w:val="24"/>
        </w:rPr>
      </w:pPr>
      <w:r>
        <w:rPr>
          <w:szCs w:val="24"/>
        </w:rPr>
        <w:t xml:space="preserve">Zgodnie z § 3 ust. 1 pkt 80 rozporządzenia Rady Ministrów </w:t>
      </w:r>
      <w:r>
        <w:rPr>
          <w:i/>
          <w:szCs w:val="24"/>
        </w:rPr>
        <w:t>z dnia 9 listopada 2010 r. w sprawie przedsięwzięć mogących znacząco oddziaływać na środowisko</w:t>
      </w:r>
      <w:r>
        <w:rPr>
          <w:szCs w:val="24"/>
        </w:rPr>
        <w:t xml:space="preserve"> (Dz.U.2016.71 t.j.), planowane przedsięwzięcie klasyfikowane jest do przedsięwzięć mogących potencjalnie oddziaływać na środowisko jako instalacje związane z odzyskiem lub unieszkodliwianiem odpadów, inne niż wymienione w § 2 ust. 1 pkt 41-47.</w:t>
      </w:r>
    </w:p>
    <w:p>
      <w:pPr>
        <w:pStyle w:val="Normal"/>
        <w:rPr>
          <w:szCs w:val="24"/>
        </w:rPr>
      </w:pPr>
      <w:r>
        <w:rPr>
          <w:szCs w:val="24"/>
        </w:rPr>
        <w:t xml:space="preserve">Zgodnie z powyższym analizowane przedsięwzięcie na etapie uzyskania decyzji o środowiskowych uwarunkowaniach może wymagać sporządzenia raportu o oddziaływaniu na środowisko.  </w:t>
      </w:r>
    </w:p>
    <w:p>
      <w:pPr>
        <w:pStyle w:val="Normal"/>
        <w:rPr>
          <w:szCs w:val="24"/>
        </w:rPr>
      </w:pPr>
      <w:r>
        <w:rPr>
          <w:szCs w:val="24"/>
        </w:rPr>
        <w:t xml:space="preserve">Decyzja o środowiskowych uwarunkowaniach jest decyzją administracyjną wydawaną na podstawie </w:t>
      </w:r>
      <w:r>
        <w:rPr>
          <w:i/>
          <w:szCs w:val="24"/>
        </w:rPr>
        <w:t>Ustawy o udostępnianiu informacji o środowisku i jego ochronie, udziale społeczeństwa w ochronie środowiska oraz o ocenach oddziaływania na środowisko</w:t>
      </w:r>
      <w:r>
        <w:rPr>
          <w:szCs w:val="24"/>
        </w:rPr>
        <w:t xml:space="preserve"> (Dz.U.2017.1405 t.j.). W tym wypadku decyzja ta jest niezbędna przed uzyskaniem pozwolenia na budowę.</w:t>
      </w:r>
    </w:p>
    <w:p>
      <w:pPr>
        <w:pStyle w:val="Normal"/>
        <w:rPr>
          <w:szCs w:val="24"/>
        </w:rPr>
      </w:pPr>
      <w:r>
        <w:rPr>
          <w:szCs w:val="24"/>
        </w:rPr>
        <w:t xml:space="preserve">W decyzji o środowiskowych uwarunkowaniach określone są między innymi warunki do uwzględnienia na etapie realizacji i eksploatacji przedsięwzięcia oraz uwzględnienia w  projekcie budowlanym. Zgodnie z art. 88 ust. 1 </w:t>
      </w:r>
      <w:r>
        <w:rPr>
          <w:i/>
          <w:szCs w:val="24"/>
        </w:rPr>
        <w:t>Ustawy o udostępnianiu informacji</w:t>
      </w:r>
      <w:r>
        <w:rPr>
          <w:szCs w:val="24"/>
        </w:rPr>
        <w:t xml:space="preserve"> (...), na kolejnych, bardziej zaawansowanych etapach realizacji inwestycji, o ile zajdzie taka potrzeba, procedura oceny oddziaływania przedsięwzięcia na środowisko może być przeprowadzona ponownie. </w:t>
      </w:r>
    </w:p>
    <w:p>
      <w:pPr>
        <w:pStyle w:val="Normal"/>
        <w:rPr>
          <w:szCs w:val="24"/>
        </w:rPr>
      </w:pPr>
      <w:r>
        <w:rPr>
          <w:szCs w:val="24"/>
        </w:rPr>
      </w:r>
    </w:p>
    <w:p>
      <w:pPr>
        <w:pStyle w:val="Nagwek2"/>
        <w:numPr>
          <w:ilvl w:val="1"/>
          <w:numId w:val="2"/>
        </w:numPr>
        <w:ind w:hanging="578"/>
        <w:rPr/>
      </w:pPr>
      <w:bookmarkStart w:id="3" w:name="_Toc518331266"/>
      <w:r>
        <w:rPr/>
        <w:t>Cel i zakres raportu</w:t>
      </w:r>
      <w:bookmarkEnd w:id="3"/>
      <w:r>
        <w:rPr/>
        <w:t xml:space="preserve"> </w:t>
      </w:r>
    </w:p>
    <w:p>
      <w:pPr>
        <w:pStyle w:val="Normal"/>
        <w:rPr>
          <w:szCs w:val="24"/>
        </w:rPr>
      </w:pPr>
      <w:r>
        <w:rPr>
          <w:szCs w:val="24"/>
        </w:rPr>
        <w:t xml:space="preserve">Celem wykonania raportu jest określenie potencjalnego oddziaływania planowanego przedsięwzięcia  na środowisko, komponenty środowiska oraz określenie w tym zakresie możliwości realizacji inwestycji w proponowanym zakresie i miejscu, z uwzględnieniem zastosowanych metod zapobiegawczych, kompensacyjnych i innych, w świetle standardów </w:t>
        <w:br/>
        <w:t xml:space="preserve">i norm ochrony środowiska. </w:t>
      </w:r>
    </w:p>
    <w:p>
      <w:pPr>
        <w:pStyle w:val="Normal"/>
        <w:rPr>
          <w:szCs w:val="24"/>
        </w:rPr>
      </w:pPr>
      <w:r>
        <w:rPr>
          <w:szCs w:val="24"/>
        </w:rPr>
        <w:t xml:space="preserve">Merytoryczną podstawę opracowania raportu stanowi dział V, rozdział 2, art. 66 </w:t>
      </w:r>
      <w:r>
        <w:rPr>
          <w:i/>
          <w:szCs w:val="24"/>
        </w:rPr>
        <w:t xml:space="preserve">Ustawy </w:t>
        <w:br/>
        <w:t xml:space="preserve">o udostępnianiu informacji o środowisku i jego ochronie, udziale społeczeństwa w ochronie środowiska oraz o ocenach oddziaływania na środowisko </w:t>
      </w:r>
      <w:r>
        <w:rPr>
          <w:szCs w:val="24"/>
        </w:rPr>
        <w:t xml:space="preserve">(Dz.U.2017.1405 t.j.). </w:t>
      </w:r>
      <w:r>
        <w:rPr>
          <w:rFonts w:ascii="Open Sans" w:hAnsi="Open Sans"/>
          <w:color w:val="00000A"/>
        </w:rPr>
        <w:t xml:space="preserve">Raport </w:t>
        <w:br/>
        <w:t>o oddziaływaniu przedsięwzięcia na środowisko w analizowanym przypadku powinien zawierać:</w:t>
      </w:r>
    </w:p>
    <w:p>
      <w:pPr>
        <w:pStyle w:val="Normal"/>
        <w:numPr>
          <w:ilvl w:val="0"/>
          <w:numId w:val="4"/>
        </w:numPr>
        <w:shd w:val="clear" w:color="auto" w:fill="FFFFFF"/>
        <w:rPr>
          <w:rFonts w:ascii="Open Sans" w:hAnsi="Open Sans"/>
          <w:color w:val="00000A"/>
        </w:rPr>
      </w:pPr>
      <w:r>
        <w:rPr>
          <w:rFonts w:ascii="Open Sans" w:hAnsi="Open Sans"/>
          <w:color w:val="00000A"/>
        </w:rPr>
        <w:t>opis planowanego przedsięwzięcia, a w szczególności:</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charakterystykę całego przedsięwzięcia i warunki użytkowania terenu w fazie budowy i eksploatacji lub użytkowania, w tym w odniesieniu do obszarów szczególnego zagrożenia powodzią w rozumieniu art. 16 pkt 34 ustawy z dnia 20 lipca 2017 r. - Prawo wodne,</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główne cechy charakterystyczne procesów produkcyjnych,</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przewidywane rodzaje i ilości emisji, w tym odpadów, wynikające z funkcjonowania planowanego przedsięwzięcia,</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informacje o różnorodności biologicznej, wykorzystywaniu zasobów naturalnych, w tym gleby, wody i powierzchni ziemi,</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informacje o zapotrzebowaniu na energię i jej zużyciu,</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informacje o pracach rozbiórkowych dotyczących przedsięwzięć mogących znacząco oddziaływać na środowisko,</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ocenione w oparciu o wiedzę naukową ryzyko wystąpienia poważnych awarii lub katastrof naturalnych i budowlanych, przy uwzględnieniu używanych substancji i stosowanych technologii, w tym ryzyko związane ze zmianą klimatu,</w:t>
      </w:r>
    </w:p>
    <w:p>
      <w:pPr>
        <w:pStyle w:val="Normal"/>
        <w:numPr>
          <w:ilvl w:val="0"/>
          <w:numId w:val="4"/>
        </w:numPr>
        <w:shd w:val="clear" w:color="auto" w:fill="FFFFFF"/>
        <w:rPr>
          <w:rFonts w:ascii="Open Sans" w:hAnsi="Open Sans"/>
          <w:color w:val="00000A"/>
        </w:rPr>
      </w:pPr>
      <w:r>
        <w:rPr>
          <w:rFonts w:ascii="Open Sans" w:hAnsi="Open Sans"/>
          <w:color w:val="00000A"/>
        </w:rPr>
        <w:t>opis elementów przyrodniczych środowiska objętych zakresem przewidywanego oddziaływania planowanego przedsięwzięcia na środowisko, w tym:</w:t>
      </w:r>
    </w:p>
    <w:p>
      <w:pPr>
        <w:pStyle w:val="Normal"/>
        <w:numPr>
          <w:ilvl w:val="0"/>
          <w:numId w:val="9"/>
        </w:numPr>
        <w:shd w:val="clear" w:color="auto" w:fill="FFFFFF"/>
        <w:ind w:left="709" w:hanging="312"/>
        <w:rPr/>
      </w:pPr>
      <w:r>
        <w:rPr>
          <w:rFonts w:ascii="Open Sans" w:hAnsi="Open Sans"/>
          <w:color w:val="00000A"/>
        </w:rPr>
        <w:t xml:space="preserve">elementów środowiska objętych ochroną na podstawie </w:t>
      </w:r>
      <w:r>
        <w:fldChar w:fldCharType="begin"/>
      </w:r>
      <w:r>
        <w:instrText> HYPERLINK "https://sip.lex.pl/" \l "/document/17091515?cm=DOCUMENT"</w:instrText>
      </w:r>
      <w:r>
        <w:fldChar w:fldCharType="separate"/>
      </w:r>
      <w:r>
        <w:rPr>
          <w:rStyle w:val="Czeinternetowe"/>
          <w:rFonts w:ascii="Open Sans" w:hAnsi="Open Sans"/>
          <w:color w:val="00000A"/>
        </w:rPr>
        <w:t>ustawy</w:t>
      </w:r>
      <w:r>
        <w:fldChar w:fldCharType="end"/>
      </w:r>
      <w:r>
        <w:rPr>
          <w:rFonts w:ascii="Open Sans" w:hAnsi="Open Sans"/>
          <w:color w:val="00000A"/>
        </w:rPr>
        <w:t xml:space="preserve"> z dnia 16 kwietnia 2004 r. o ochronie przyrody oraz korytarzy ekologicznych w rozumieniu tej </w:t>
      </w:r>
      <w:r>
        <w:fldChar w:fldCharType="begin"/>
      </w:r>
      <w:r>
        <w:instrText> HYPERLINK "https://sip.lex.pl/" \l "/document/17091515?cm=DOCUMENT"</w:instrText>
      </w:r>
      <w:r>
        <w:fldChar w:fldCharType="separate"/>
      </w:r>
      <w:r>
        <w:rPr>
          <w:rStyle w:val="Czeinternetowe"/>
          <w:rFonts w:ascii="Open Sans" w:hAnsi="Open Sans"/>
          <w:color w:val="00000A"/>
        </w:rPr>
        <w:t>ustawy</w:t>
      </w:r>
      <w:r>
        <w:fldChar w:fldCharType="end"/>
      </w:r>
      <w:r>
        <w:rPr>
          <w:rFonts w:ascii="Open Sans" w:hAnsi="Open Sans"/>
          <w:color w:val="00000A"/>
        </w:rPr>
        <w:t>,</w:t>
      </w:r>
    </w:p>
    <w:p>
      <w:pPr>
        <w:pStyle w:val="Normal"/>
        <w:numPr>
          <w:ilvl w:val="0"/>
          <w:numId w:val="9"/>
        </w:numPr>
        <w:shd w:val="clear" w:color="auto" w:fill="FFFFFF"/>
        <w:ind w:left="709" w:hanging="312"/>
        <w:rPr>
          <w:rFonts w:ascii="Open Sans" w:hAnsi="Open Sans"/>
          <w:color w:val="00000A"/>
        </w:rPr>
      </w:pPr>
      <w:r>
        <w:rPr>
          <w:rFonts w:ascii="Open Sans" w:hAnsi="Open Sans"/>
          <w:color w:val="00000A"/>
        </w:rPr>
        <w:t>właściwości hydromorfologicznych, fizykochemicznych, biologicznych i chemicznych wód,</w:t>
      </w:r>
    </w:p>
    <w:p>
      <w:pPr>
        <w:pStyle w:val="Normal"/>
        <w:numPr>
          <w:ilvl w:val="0"/>
          <w:numId w:val="4"/>
        </w:numPr>
        <w:shd w:val="clear" w:color="auto" w:fill="FFFFFF"/>
        <w:rPr>
          <w:rFonts w:ascii="Open Sans" w:hAnsi="Open Sans"/>
          <w:color w:val="00000A"/>
        </w:rPr>
      </w:pPr>
      <w:r>
        <w:rPr>
          <w:rFonts w:ascii="Open Sans" w:hAnsi="Open Sans"/>
          <w:color w:val="00000A"/>
        </w:rPr>
        <w:t xml:space="preserve">wyniki inwentaryzacji przyrodniczej, przez którą rozumie się zbiór badań terenowych przeprowadzonych na potrzeby scharakteryzowania elementów środowiska przyrodniczego, jeżeli została przeprowadzona, wraz z opisem zastosowanej metodyki, </w:t>
      </w:r>
    </w:p>
    <w:p>
      <w:pPr>
        <w:pStyle w:val="Normal"/>
        <w:numPr>
          <w:ilvl w:val="0"/>
          <w:numId w:val="4"/>
        </w:numPr>
        <w:shd w:val="clear" w:color="auto" w:fill="FFFFFF"/>
        <w:rPr>
          <w:rFonts w:ascii="Open Sans" w:hAnsi="Open Sans"/>
          <w:color w:val="00000A"/>
        </w:rPr>
      </w:pPr>
      <w:r>
        <w:rPr>
          <w:rFonts w:ascii="Open Sans" w:hAnsi="Open Sans"/>
          <w:color w:val="00000A"/>
        </w:rPr>
        <w:t>inne dane, na podstawie których dokonano opisu elementów przyrodniczych,</w:t>
      </w:r>
    </w:p>
    <w:p>
      <w:pPr>
        <w:pStyle w:val="Normal"/>
        <w:numPr>
          <w:ilvl w:val="0"/>
          <w:numId w:val="4"/>
        </w:numPr>
        <w:shd w:val="clear" w:color="auto" w:fill="FFFFFF"/>
        <w:rPr>
          <w:rFonts w:ascii="Open Sans" w:hAnsi="Open Sans"/>
          <w:color w:val="00000A"/>
        </w:rPr>
      </w:pPr>
      <w:r>
        <w:rPr>
          <w:rFonts w:ascii="Open Sans" w:hAnsi="Open Sans"/>
          <w:color w:val="00000A"/>
        </w:rPr>
        <w:t>opis istniejących w sąsiedztwie lub w bezpośrednim zasięgu oddziaływania planowanego przedsięwzięcia zabytków chronionych na podstawie przepisów o ochronie zabytków i opiece nad zabytkami,</w:t>
      </w:r>
    </w:p>
    <w:p>
      <w:pPr>
        <w:pStyle w:val="Normal"/>
        <w:numPr>
          <w:ilvl w:val="0"/>
          <w:numId w:val="4"/>
        </w:numPr>
        <w:shd w:val="clear" w:color="auto" w:fill="FFFFFF"/>
        <w:rPr>
          <w:rFonts w:ascii="Open Sans" w:hAnsi="Open Sans"/>
          <w:color w:val="00000A"/>
        </w:rPr>
      </w:pPr>
      <w:r>
        <w:rPr>
          <w:rFonts w:ascii="Open Sans" w:hAnsi="Open Sans"/>
          <w:color w:val="00000A"/>
        </w:rPr>
        <w:t>opis krajobrazu, w którym dane przedsięwzięcie ma być zlokalizowane,</w:t>
      </w:r>
    </w:p>
    <w:p>
      <w:pPr>
        <w:pStyle w:val="Normal"/>
        <w:numPr>
          <w:ilvl w:val="0"/>
          <w:numId w:val="4"/>
        </w:numPr>
        <w:shd w:val="clear" w:color="auto" w:fill="FFFFFF"/>
        <w:rPr>
          <w:rFonts w:ascii="Open Sans" w:hAnsi="Open Sans"/>
          <w:color w:val="00000A"/>
        </w:rPr>
      </w:pPr>
      <w:r>
        <w:rPr>
          <w:rFonts w:ascii="Open Sans" w:hAnsi="Open Sans"/>
          <w:color w:val="00000A"/>
        </w:rPr>
        <w:t>informacje na temat powiązań z innymi przedsięwzięciami, w szczególności kumulowania się oddziaływań przedsięwzięć realizowanych, zrealizowanych lub planowanych, dla których wydano decyzję o środowiskowych uwarunkowaniach, znajdujących się na terenie, na którym planuje się realizację przedsięwzięcia, oraz w obszarze oddziaływania przedsięwzięcia lub których oddziaływania mieszczą się w obszarze oddziaływania planowanego przedsięwzięcia - w zakresie, w jakim ich oddziaływania mogą prowadzić do skumulowania oddziaływań z planowanym przedsięwzięciem,</w:t>
      </w:r>
    </w:p>
    <w:p>
      <w:pPr>
        <w:pStyle w:val="Normal"/>
        <w:numPr>
          <w:ilvl w:val="0"/>
          <w:numId w:val="4"/>
        </w:numPr>
        <w:shd w:val="clear" w:color="auto" w:fill="FFFFFF"/>
        <w:rPr>
          <w:rFonts w:ascii="Open Sans" w:hAnsi="Open Sans"/>
          <w:color w:val="00000A"/>
        </w:rPr>
      </w:pPr>
      <w:r>
        <w:rPr>
          <w:rFonts w:ascii="Open Sans" w:hAnsi="Open Sans"/>
          <w:color w:val="00000A"/>
        </w:rPr>
        <w:t>opis przewidywanych skutków dla środowiska w przypadku niepodejmowania przedsięwzięcia, uwzględniający dostępne informacje o środowisku oraz wiedzę naukową,</w:t>
      </w:r>
    </w:p>
    <w:p>
      <w:pPr>
        <w:pStyle w:val="Normal"/>
        <w:numPr>
          <w:ilvl w:val="0"/>
          <w:numId w:val="4"/>
        </w:numPr>
        <w:shd w:val="clear" w:color="auto" w:fill="FFFFFF"/>
        <w:rPr>
          <w:rFonts w:ascii="Open Sans" w:hAnsi="Open Sans"/>
          <w:color w:val="00000A"/>
        </w:rPr>
      </w:pPr>
      <w:r>
        <w:rPr>
          <w:rFonts w:ascii="Open Sans" w:hAnsi="Open Sans"/>
          <w:color w:val="00000A"/>
        </w:rPr>
        <w:t>opis wariantów uwzględniający szczególne cechy przedsięwzięcia lub jego oddziaływania, w tym:</w:t>
      </w:r>
    </w:p>
    <w:p>
      <w:pPr>
        <w:pStyle w:val="Normal"/>
        <w:numPr>
          <w:ilvl w:val="0"/>
          <w:numId w:val="6"/>
        </w:numPr>
        <w:shd w:val="clear" w:color="auto" w:fill="FFFFFF"/>
        <w:ind w:left="709" w:hanging="312"/>
        <w:rPr>
          <w:rFonts w:ascii="Open Sans" w:hAnsi="Open Sans"/>
          <w:color w:val="00000A"/>
        </w:rPr>
      </w:pPr>
      <w:r>
        <w:rPr>
          <w:rFonts w:ascii="Open Sans" w:hAnsi="Open Sans"/>
          <w:color w:val="00000A"/>
        </w:rPr>
        <w:t>wariantu proponowanego przez wnioskodawcę oraz racjonalnego wariantu alternatywnego,</w:t>
      </w:r>
    </w:p>
    <w:p>
      <w:pPr>
        <w:pStyle w:val="Normal"/>
        <w:numPr>
          <w:ilvl w:val="0"/>
          <w:numId w:val="6"/>
        </w:numPr>
        <w:shd w:val="clear" w:color="auto" w:fill="FFFFFF"/>
        <w:rPr>
          <w:rFonts w:ascii="Open Sans" w:hAnsi="Open Sans"/>
          <w:color w:val="00000A"/>
        </w:rPr>
      </w:pPr>
      <w:r>
        <w:rPr>
          <w:rFonts w:ascii="Open Sans" w:hAnsi="Open Sans"/>
          <w:color w:val="00000A"/>
        </w:rPr>
        <w:t>racjonalnego wariantu najkorzystniejszego dla środowiska</w:t>
      </w:r>
    </w:p>
    <w:p>
      <w:pPr>
        <w:pStyle w:val="Textjustify"/>
        <w:shd w:val="clear" w:color="auto" w:fill="FFFFFF"/>
        <w:spacing w:beforeAutospacing="0" w:before="0" w:afterAutospacing="0" w:after="0"/>
        <w:jc w:val="both"/>
        <w:rPr>
          <w:rFonts w:ascii="Open Sans" w:hAnsi="Open Sans"/>
        </w:rPr>
      </w:pPr>
      <w:r>
        <w:rPr>
          <w:rFonts w:ascii="Open Sans" w:hAnsi="Open Sans"/>
        </w:rPr>
        <w:t>- wraz z uzasadnieniem ich wyboru,</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określenie przewidywanego oddziaływania analizowanych wariantów na środowisko, w tym również w przypadku wystąpienia poważnej awarii przemysłowej i katastrofy naturalnej i budowlanej, na klimat, w tym emisje gazów cieplarnianych i oddziaływania istotne z punktu widzenia dostosowania do zmian klimatu, a także możliwego transgranicznego oddziaływania na środowisko, a w przypadku drogi w transeuropejskiej sieci drogowej, także wpływu planowanej drogi na bezpieczeństwo ruchu drogowego,</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porównanie oddziaływań analizowanych wariantów na:</w:t>
      </w:r>
    </w:p>
    <w:p>
      <w:pPr>
        <w:pStyle w:val="Normal"/>
        <w:numPr>
          <w:ilvl w:val="0"/>
          <w:numId w:val="7"/>
        </w:numPr>
        <w:shd w:val="clear" w:color="auto" w:fill="FFFFFF"/>
        <w:rPr>
          <w:rFonts w:ascii="Open Sans" w:hAnsi="Open Sans"/>
          <w:color w:val="00000A"/>
        </w:rPr>
      </w:pPr>
      <w:r>
        <w:rPr>
          <w:rFonts w:ascii="Open Sans" w:hAnsi="Open Sans"/>
          <w:color w:val="00000A"/>
        </w:rPr>
        <w:t>ludzi, rośliny, zwierzęta, grzyby i siedliska przyrodnicze, wodę i powietrze,</w:t>
      </w:r>
    </w:p>
    <w:p>
      <w:pPr>
        <w:pStyle w:val="Normal"/>
        <w:numPr>
          <w:ilvl w:val="0"/>
          <w:numId w:val="7"/>
        </w:numPr>
        <w:shd w:val="clear" w:color="auto" w:fill="FFFFFF"/>
        <w:ind w:left="709" w:hanging="312"/>
        <w:rPr>
          <w:rFonts w:ascii="Open Sans" w:hAnsi="Open Sans"/>
          <w:color w:val="00000A"/>
        </w:rPr>
      </w:pPr>
      <w:r>
        <w:rPr>
          <w:rFonts w:ascii="Open Sans" w:hAnsi="Open Sans"/>
          <w:color w:val="00000A"/>
        </w:rPr>
        <w:t>powierzchnię ziemi, z uwzględnieniem ruchów masowych ziemi, i krajobraz,</w:t>
      </w:r>
    </w:p>
    <w:p>
      <w:pPr>
        <w:pStyle w:val="Normal"/>
        <w:numPr>
          <w:ilvl w:val="0"/>
          <w:numId w:val="7"/>
        </w:numPr>
        <w:shd w:val="clear" w:color="auto" w:fill="FFFFFF"/>
        <w:ind w:left="709" w:hanging="312"/>
        <w:rPr>
          <w:rFonts w:ascii="Open Sans" w:hAnsi="Open Sans"/>
          <w:color w:val="00000A"/>
        </w:rPr>
      </w:pPr>
      <w:r>
        <w:rPr>
          <w:rFonts w:ascii="Open Sans" w:hAnsi="Open Sans"/>
          <w:color w:val="00000A"/>
        </w:rPr>
        <w:t>dobra materialne,</w:t>
      </w:r>
    </w:p>
    <w:p>
      <w:pPr>
        <w:pStyle w:val="Normal"/>
        <w:numPr>
          <w:ilvl w:val="0"/>
          <w:numId w:val="7"/>
        </w:numPr>
        <w:shd w:val="clear" w:color="auto" w:fill="FFFFFF"/>
        <w:ind w:left="709" w:hanging="312"/>
        <w:rPr>
          <w:rFonts w:ascii="Open Sans" w:hAnsi="Open Sans"/>
          <w:color w:val="00000A"/>
        </w:rPr>
      </w:pPr>
      <w:r>
        <w:rPr>
          <w:rFonts w:ascii="Open Sans" w:hAnsi="Open Sans"/>
          <w:color w:val="00000A"/>
        </w:rPr>
        <w:t>zabytki i krajobraz kulturowy, objęte istniejącą dokumentacją, w szczególności rejestrem lub ewidencją zabytków,</w:t>
      </w:r>
    </w:p>
    <w:p>
      <w:pPr>
        <w:pStyle w:val="Normal"/>
        <w:numPr>
          <w:ilvl w:val="0"/>
          <w:numId w:val="7"/>
        </w:numPr>
        <w:shd w:val="clear" w:color="auto" w:fill="FFFFFF"/>
        <w:ind w:left="709" w:hanging="312"/>
        <w:rPr/>
      </w:pPr>
      <w:r>
        <w:rPr>
          <w:rFonts w:ascii="Open Sans" w:hAnsi="Open Sans"/>
          <w:color w:val="00000A"/>
        </w:rPr>
        <w:t xml:space="preserve">formy ochrony przyrody, o których mowa w </w:t>
      </w:r>
      <w:r>
        <w:fldChar w:fldCharType="begin"/>
      </w:r>
      <w:r>
        <w:instrText> HYPERLINK "https://sip.lex.pl/" \l "/document/17091515?unitId=art(6)ust(1)&amp;cm=DOCUMENT"</w:instrText>
      </w:r>
      <w:r>
        <w:fldChar w:fldCharType="separate"/>
      </w:r>
      <w:r>
        <w:rPr>
          <w:rStyle w:val="Czeinternetowe"/>
          <w:rFonts w:ascii="Open Sans" w:hAnsi="Open Sans"/>
          <w:color w:val="00000A"/>
        </w:rPr>
        <w:t>art. 6 ust. 1</w:t>
      </w:r>
      <w:r>
        <w:fldChar w:fldCharType="end"/>
      </w:r>
      <w:r>
        <w:rPr>
          <w:rFonts w:ascii="Open Sans" w:hAnsi="Open Sans"/>
          <w:color w:val="00000A"/>
        </w:rPr>
        <w:t xml:space="preserve"> ustawy z dnia 16 kwietnia 2004 r. o ochronie przyrody, w tym na cele i przedmiot ochrony obszarów Natura 2000, oraz ciągłość łączących je korytarzy ekologicznych,</w:t>
      </w:r>
    </w:p>
    <w:p>
      <w:pPr>
        <w:pStyle w:val="Normal"/>
        <w:numPr>
          <w:ilvl w:val="0"/>
          <w:numId w:val="7"/>
        </w:numPr>
        <w:shd w:val="clear" w:color="auto" w:fill="FFFFFF"/>
        <w:ind w:left="709" w:hanging="312"/>
        <w:rPr>
          <w:rFonts w:ascii="Open Sans" w:hAnsi="Open Sans"/>
          <w:color w:val="00000A"/>
        </w:rPr>
      </w:pPr>
      <w:r>
        <w:rPr>
          <w:rFonts w:ascii="Open Sans" w:hAnsi="Open Sans"/>
          <w:color w:val="00000A"/>
        </w:rPr>
        <w:t>elementy wymienione w art. 68 ust. 2 pkt 2 lit. b, jeżeli zostały uwzględnione w raporcie o oddziaływaniu przedsięwzięcia na środowisko lub jeżeli są wymagane przez właściwy organ,</w:t>
      </w:r>
    </w:p>
    <w:p>
      <w:pPr>
        <w:pStyle w:val="Normal"/>
        <w:numPr>
          <w:ilvl w:val="0"/>
          <w:numId w:val="7"/>
        </w:numPr>
        <w:shd w:val="clear" w:color="auto" w:fill="FFFFFF"/>
        <w:ind w:left="709" w:hanging="312"/>
        <w:rPr>
          <w:rFonts w:ascii="Open Sans" w:hAnsi="Open Sans"/>
          <w:color w:val="00000A"/>
        </w:rPr>
      </w:pPr>
      <w:r>
        <w:rPr>
          <w:rFonts w:ascii="Open Sans" w:hAnsi="Open Sans"/>
          <w:color w:val="00000A"/>
        </w:rPr>
        <w:t>wzajemne oddziaływanie między elementami, o których mowa w lit. a-f,</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uzasadnienie proponowanego przez wnioskodawcę wariantu, z uwzględnieniem informacji, o których mowa w pkt 6 i 6a,</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opis metod prognozowania zastosowanych przez wnioskodawcę oraz opis przewidywanych znaczących oddziaływań planowanego przedsięwzięcia na środowisko, obejmujący bezpośrednie, pośrednie, wtórne, skumulowane, krótko-, średnio- i długoterminowe, stałe i chwilowe oddziaływania na środowisko, wynikające z:</w:t>
      </w:r>
    </w:p>
    <w:p>
      <w:pPr>
        <w:pStyle w:val="Normal"/>
        <w:numPr>
          <w:ilvl w:val="0"/>
          <w:numId w:val="8"/>
        </w:numPr>
        <w:shd w:val="clear" w:color="auto" w:fill="FFFFFF"/>
        <w:rPr>
          <w:rFonts w:ascii="Open Sans" w:hAnsi="Open Sans"/>
          <w:color w:val="00000A"/>
        </w:rPr>
      </w:pPr>
      <w:r>
        <w:rPr>
          <w:rFonts w:ascii="Open Sans" w:hAnsi="Open Sans"/>
          <w:color w:val="00000A"/>
        </w:rPr>
        <w:t>istnienia przedsięwzięcia,</w:t>
      </w:r>
    </w:p>
    <w:p>
      <w:pPr>
        <w:pStyle w:val="Normal"/>
        <w:numPr>
          <w:ilvl w:val="0"/>
          <w:numId w:val="8"/>
        </w:numPr>
        <w:shd w:val="clear" w:color="auto" w:fill="FFFFFF"/>
        <w:rPr>
          <w:rFonts w:ascii="Open Sans" w:hAnsi="Open Sans"/>
          <w:color w:val="00000A"/>
        </w:rPr>
      </w:pPr>
      <w:r>
        <w:rPr>
          <w:rFonts w:ascii="Open Sans" w:hAnsi="Open Sans"/>
          <w:color w:val="00000A"/>
        </w:rPr>
        <w:t>wykorzystywania zasobów środowiska,</w:t>
      </w:r>
    </w:p>
    <w:p>
      <w:pPr>
        <w:pStyle w:val="Normal"/>
        <w:numPr>
          <w:ilvl w:val="0"/>
          <w:numId w:val="8"/>
        </w:numPr>
        <w:shd w:val="clear" w:color="auto" w:fill="FFFFFF"/>
        <w:rPr>
          <w:rFonts w:ascii="Open Sans" w:hAnsi="Open Sans"/>
          <w:color w:val="00000A"/>
        </w:rPr>
      </w:pPr>
      <w:r>
        <w:rPr>
          <w:rFonts w:ascii="Open Sans" w:hAnsi="Open Sans"/>
          <w:color w:val="00000A"/>
        </w:rPr>
        <w:t>emisji,</w:t>
      </w:r>
    </w:p>
    <w:p>
      <w:pPr>
        <w:pStyle w:val="Normal"/>
        <w:numPr>
          <w:ilvl w:val="0"/>
          <w:numId w:val="4"/>
        </w:numPr>
        <w:shd w:val="clear" w:color="auto" w:fill="FFFFFF"/>
        <w:ind w:left="426" w:hanging="426"/>
        <w:rPr/>
      </w:pPr>
      <w:r>
        <w:rPr>
          <w:rFonts w:ascii="Open Sans" w:hAnsi="Open Sans"/>
          <w:color w:val="00000A"/>
        </w:rPr>
        <w:t xml:space="preserve">opis przewidywanych działań mających na celu unikanie, zapobieganie, ograniczanie lub kompensację przyrodniczą negatywnych oddziaływań na środowisko, w szczególności na formy ochrony przyrody, o których mowa w </w:t>
      </w:r>
      <w:r>
        <w:fldChar w:fldCharType="begin"/>
      </w:r>
      <w:r>
        <w:instrText> HYPERLINK "https://sip.lex.pl/" \l "/document/17091515?unitId=art(6)ust(1)&amp;cm=DOCUMENT"</w:instrText>
      </w:r>
      <w:r>
        <w:fldChar w:fldCharType="separate"/>
      </w:r>
      <w:r>
        <w:rPr>
          <w:rStyle w:val="Czeinternetowe"/>
          <w:rFonts w:ascii="Open Sans" w:hAnsi="Open Sans"/>
          <w:color w:val="00000A"/>
        </w:rPr>
        <w:t>art. 6 ust. 1</w:t>
      </w:r>
      <w:r>
        <w:fldChar w:fldCharType="end"/>
      </w:r>
      <w:r>
        <w:rPr>
          <w:rFonts w:ascii="Open Sans" w:hAnsi="Open Sans"/>
          <w:color w:val="00000A"/>
        </w:rPr>
        <w:t xml:space="preserve"> ustawy z dnia 16 kwietnia 2004 r. o ochronie przyrody, w tym na cele i przedmiot ochrony obszaru Natura 2000, oraz ciągłość łączących je korytarzy ekologicznych, wraz z oceną ich skuteczności odpowiednio na etapach realizacji, eksploatacji i likwidacji przedsięwzięcia,</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 xml:space="preserve">jeżeli planowane przedsięwzięcie jest związane z użyciem instalacji, porównanie proponowanej technologii z technologią spełniającą wymagania, o których mowa w art. 143 ustawy z dnia 27 kwietnia 2001 r. - </w:t>
      </w:r>
      <w:r>
        <w:rPr>
          <w:rFonts w:ascii="Open Sans" w:hAnsi="Open Sans"/>
          <w:i/>
          <w:color w:val="00000A"/>
        </w:rPr>
        <w:t>Prawo ochrony środowiska</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odniesienie się do celów środowiskowych wynikających z dokumentów strategicznych istotnych z punktu widzenia realizacji przedsięwzięcia,</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wskazanie, czy dla planowanego przedsięwzięcia jest konieczne ustanowienie obszaru ograniczonego użytkowania, o którym mowa w ustawie z dnia 27 kwietnia 2001 r. - Prawo ochrony środowiska, oraz określenie granic takiego obszaru, ograniczeń w zakresie przeznaczenia terenu, wymagań technicznych dotyczących obiektów budowlanych i sposobów korzystania z nich; nie dotyczy to przedsięwzięć polegających na budowie lub przebudowie drogi oraz przedsięwzięć polegających na budowie lub przebudowie linii kolejowej lub lotniska użytku publicznego,</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przedstawienie zagadnień w formie graficznej,</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przedstawienie zagadnień w formie kartograficznej w skali odpowiadającej przedmiotowi i szczegółowości analizowanych w raporcie zagadnień oraz umożliwiającej kompleksowe przedstawienie przeprowadzonych analiz oddziaływania przedsięwzięcia na środowisko,</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analizę możliwych konfliktów społecznych związanych z planowanym przedsięwzięciem;</w:t>
      </w:r>
    </w:p>
    <w:p>
      <w:pPr>
        <w:pStyle w:val="Normal"/>
        <w:numPr>
          <w:ilvl w:val="0"/>
          <w:numId w:val="4"/>
        </w:numPr>
        <w:shd w:val="clear" w:color="auto" w:fill="FFFFFF"/>
        <w:ind w:left="426" w:hanging="426"/>
        <w:rPr/>
      </w:pPr>
      <w:r>
        <w:rPr>
          <w:rFonts w:ascii="Open Sans" w:hAnsi="Open Sans"/>
          <w:color w:val="00000A"/>
        </w:rPr>
        <w:t xml:space="preserve">przedstawienie propozycji monitoringu oddziaływania planowanego przedsięwzięcia na etapie jego budowy i eksploatacji lub użytkowania, w szczególności na formy ochrony przyrody, o których mowa w </w:t>
      </w:r>
      <w:r>
        <w:fldChar w:fldCharType="begin"/>
      </w:r>
      <w:r>
        <w:instrText> HYPERLINK "https://sip.lex.pl/" \l "/document/17091515?unitId=art(6)ust(1)&amp;cm=DOCUMENT"</w:instrText>
      </w:r>
      <w:r>
        <w:fldChar w:fldCharType="separate"/>
      </w:r>
      <w:r>
        <w:rPr>
          <w:rStyle w:val="Czeinternetowe"/>
        </w:rPr>
        <w:t>art. 6 ust. 1</w:t>
      </w:r>
      <w:r>
        <w:fldChar w:fldCharType="end"/>
      </w:r>
      <w:r>
        <w:rPr>
          <w:rFonts w:ascii="Open Sans" w:hAnsi="Open Sans"/>
          <w:color w:val="00000A"/>
        </w:rPr>
        <w:t xml:space="preserve"> ustawy z dnia 16 kwietnia 2004 r. o ochronie przyrody, w tym na cele i przedmiot ochrony obszaru Natura 2000, oraz ciągłość łączących je korytarzy ekologicznych, oraz informacje o dostępnych wynikach innego monitoringu, które mogą mieć znaczenie dla ustalenia obowiązków w tym zakresie,</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wskazanie trudności wynikających z niedostatków techniki lub luk we współczesnej wiedzy, jakie napotkano, opracowując raport,</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streszczenie w języku niespecjalistycznym informacji zawartych w raporcie, w odniesieniu do każdego elementu raportu,</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podpis autora, a w przypadku gdy wykonawcą raportu jest zespół autorów - kierującego tym zespołem, wraz z podaniem imienia i nazwiska oraz daty sporządzenia raportu,</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oświadczenie autora, a w przypadku gdy wykonawcą raportu jest zespół autorów - kierującego tym zespołem, o spełnieniu wymagań, o których mowa w art. 74a ust. 2, stanowiące załącznik do raportu,</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źródła informacji stanowiące podstawę do sporządzenia raportu.</w:t>
      </w:r>
    </w:p>
    <w:p>
      <w:pPr>
        <w:pStyle w:val="Normal"/>
        <w:shd w:val="clear" w:color="auto" w:fill="FFFFFF"/>
        <w:rPr>
          <w:rFonts w:ascii="Open Sans" w:hAnsi="Open Sans"/>
          <w:color w:val="00000A"/>
        </w:rPr>
      </w:pPr>
      <w:r>
        <w:rPr>
          <w:rFonts w:ascii="Open Sans" w:hAnsi="Open Sans"/>
          <w:color w:val="00000A"/>
        </w:rPr>
        <w:t>Przy porównaniu wariantów uwzględnia się wpływ na środowisko w związku:</w:t>
      </w:r>
    </w:p>
    <w:p>
      <w:pPr>
        <w:pStyle w:val="Normal"/>
        <w:numPr>
          <w:ilvl w:val="0"/>
          <w:numId w:val="10"/>
        </w:numPr>
        <w:shd w:val="clear" w:color="auto" w:fill="FFFFFF"/>
        <w:rPr>
          <w:rFonts w:ascii="Open Sans" w:hAnsi="Open Sans"/>
          <w:color w:val="00000A"/>
        </w:rPr>
      </w:pPr>
      <w:r>
        <w:rPr>
          <w:rFonts w:ascii="Open Sans" w:hAnsi="Open Sans"/>
          <w:color w:val="00000A"/>
        </w:rPr>
        <w:t>z pracami rozbiórkowymi dotyczącymi przedsięwzięć mogących znacząco oddziaływać na środowisko,</w:t>
      </w:r>
    </w:p>
    <w:p>
      <w:pPr>
        <w:pStyle w:val="Normal"/>
        <w:numPr>
          <w:ilvl w:val="0"/>
          <w:numId w:val="10"/>
        </w:numPr>
        <w:shd w:val="clear" w:color="auto" w:fill="FFFFFF"/>
        <w:rPr>
          <w:rFonts w:ascii="Open Sans" w:hAnsi="Open Sans"/>
          <w:color w:val="00000A"/>
        </w:rPr>
      </w:pPr>
      <w:r>
        <w:rPr>
          <w:rFonts w:ascii="Open Sans" w:hAnsi="Open Sans"/>
          <w:color w:val="00000A"/>
        </w:rPr>
        <w:t>z gospodarką odpadami,</w:t>
      </w:r>
    </w:p>
    <w:p>
      <w:pPr>
        <w:pStyle w:val="Normal"/>
        <w:numPr>
          <w:ilvl w:val="0"/>
          <w:numId w:val="10"/>
        </w:numPr>
        <w:shd w:val="clear" w:color="auto" w:fill="FFFFFF"/>
        <w:rPr>
          <w:rFonts w:ascii="Open Sans" w:hAnsi="Open Sans"/>
          <w:color w:val="00000A"/>
        </w:rPr>
      </w:pPr>
      <w:r>
        <w:rPr>
          <w:rFonts w:ascii="Open Sans" w:hAnsi="Open Sans"/>
          <w:color w:val="00000A"/>
        </w:rPr>
        <w:t>ze stosowaniem danych technologii lub substancji.</w:t>
      </w:r>
    </w:p>
    <w:p>
      <w:pPr>
        <w:pStyle w:val="Normal"/>
        <w:shd w:val="clear" w:color="auto" w:fill="FFFFFF"/>
        <w:rPr>
          <w:rFonts w:ascii="Open Sans" w:hAnsi="Open Sans"/>
          <w:color w:val="00000A"/>
        </w:rPr>
      </w:pPr>
      <w:r>
        <w:rPr>
          <w:rFonts w:ascii="Open Sans" w:hAnsi="Open Sans"/>
          <w:color w:val="00000A"/>
        </w:rPr>
        <w:t>Raport o oddziaływaniu przedsięwzięcia na środowisko powinien uwzględniać oddziaływanie przedsięwzięcia na etapach jego realizacji, eksploatacji lub użytkowania oraz likwidacji.</w:t>
      </w:r>
    </w:p>
    <w:p>
      <w:pPr>
        <w:pStyle w:val="Normal"/>
        <w:spacing w:lineRule="auto" w:line="360"/>
        <w:rPr>
          <w:szCs w:val="24"/>
        </w:rPr>
      </w:pPr>
      <w:r>
        <w:rPr>
          <w:szCs w:val="24"/>
        </w:rPr>
      </w:r>
    </w:p>
    <w:p>
      <w:pPr>
        <w:pStyle w:val="Nagwek1"/>
        <w:numPr>
          <w:ilvl w:val="0"/>
          <w:numId w:val="2"/>
        </w:numPr>
        <w:rPr>
          <w:color w:val="00000A"/>
          <w:szCs w:val="24"/>
        </w:rPr>
      </w:pPr>
      <w:bookmarkStart w:id="4" w:name="_Toc518331267"/>
      <w:r>
        <w:rPr/>
        <w:t>OPIS PLANOWANEGO PRZEDSIĘWZIĘCIA</w:t>
      </w:r>
      <w:bookmarkEnd w:id="4"/>
      <w:r>
        <w:rPr/>
        <w:t xml:space="preserve"> </w:t>
      </w:r>
    </w:p>
    <w:p>
      <w:pPr>
        <w:pStyle w:val="Nagwek2"/>
        <w:numPr>
          <w:ilvl w:val="1"/>
          <w:numId w:val="2"/>
        </w:numPr>
        <w:ind w:hanging="578"/>
        <w:rPr/>
      </w:pPr>
      <w:bookmarkStart w:id="5" w:name="_Toc518331268"/>
      <w:r>
        <w:rPr/>
        <w:t>Ocena przedsięwzięcia pod względem zgodności z wymaganiami przepisów krajowych i UE</w:t>
      </w:r>
      <w:bookmarkEnd w:id="5"/>
      <w:r>
        <w:rPr/>
        <w:t xml:space="preserve"> </w:t>
      </w:r>
    </w:p>
    <w:p>
      <w:pPr>
        <w:pStyle w:val="Nagwek3"/>
        <w:numPr>
          <w:ilvl w:val="2"/>
          <w:numId w:val="2"/>
        </w:numPr>
        <w:ind w:hanging="851"/>
        <w:rPr/>
      </w:pPr>
      <w:bookmarkStart w:id="6" w:name="_Toc518331269"/>
      <w:r>
        <w:rPr/>
        <w:t>Zgodność przedsięwzięcia z wymaganiami polskimi i UE</w:t>
      </w:r>
      <w:bookmarkEnd w:id="6"/>
      <w:r>
        <w:rPr/>
        <w:t xml:space="preserve"> </w:t>
      </w:r>
    </w:p>
    <w:p>
      <w:pPr>
        <w:pStyle w:val="Normal"/>
        <w:rPr>
          <w:szCs w:val="24"/>
        </w:rPr>
      </w:pPr>
      <w:r>
        <w:rPr>
          <w:szCs w:val="24"/>
        </w:rPr>
        <w:t xml:space="preserve">Wstąpienie do Unii Europejskiej nałożyło na Polskę wiele zobowiązań wynikających z przyjętego dorobku prawnego UE. Do najważniejszych w zakresie gospodarki odpadami należą: </w:t>
      </w:r>
    </w:p>
    <w:p>
      <w:pPr>
        <w:pStyle w:val="Normal"/>
        <w:numPr>
          <w:ilvl w:val="0"/>
          <w:numId w:val="3"/>
        </w:numPr>
        <w:ind w:left="709" w:hanging="312"/>
        <w:rPr>
          <w:color w:val="00000A"/>
          <w:szCs w:val="24"/>
        </w:rPr>
      </w:pPr>
      <w:r>
        <w:rPr>
          <w:color w:val="00000A"/>
          <w:szCs w:val="24"/>
        </w:rPr>
        <w:t>Dyrektywa 2008/98/WE w sprawie odpadów oraz uchylająca niektóre dyrektywy.</w:t>
      </w:r>
    </w:p>
    <w:p>
      <w:pPr>
        <w:pStyle w:val="Normal"/>
        <w:numPr>
          <w:ilvl w:val="0"/>
          <w:numId w:val="3"/>
        </w:numPr>
        <w:ind w:left="709" w:hanging="312"/>
        <w:rPr>
          <w:color w:val="00000A"/>
          <w:szCs w:val="24"/>
        </w:rPr>
      </w:pPr>
      <w:r>
        <w:rPr>
          <w:color w:val="00000A"/>
          <w:szCs w:val="24"/>
        </w:rPr>
        <w:t>Dyrektywa 1999/31/WE w sprawie składowania odpadów.</w:t>
      </w:r>
    </w:p>
    <w:p>
      <w:pPr>
        <w:pStyle w:val="Normal"/>
        <w:numPr>
          <w:ilvl w:val="0"/>
          <w:numId w:val="3"/>
        </w:numPr>
        <w:ind w:left="709" w:hanging="312"/>
        <w:rPr>
          <w:color w:val="00000A"/>
          <w:szCs w:val="24"/>
        </w:rPr>
      </w:pPr>
      <w:r>
        <w:rPr>
          <w:color w:val="00000A"/>
          <w:szCs w:val="24"/>
        </w:rPr>
        <w:t>Dyrektywa 2000/76/WE w sprawie spalania odpadów.</w:t>
      </w:r>
    </w:p>
    <w:p>
      <w:pPr>
        <w:pStyle w:val="Normal"/>
        <w:numPr>
          <w:ilvl w:val="0"/>
          <w:numId w:val="3"/>
        </w:numPr>
        <w:ind w:left="709" w:hanging="312"/>
        <w:rPr>
          <w:color w:val="00000A"/>
          <w:szCs w:val="24"/>
        </w:rPr>
      </w:pPr>
      <w:r>
        <w:rPr>
          <w:color w:val="00000A"/>
          <w:szCs w:val="24"/>
        </w:rPr>
        <w:t>Dyrektywa 1996/61/WE w sprawie zintegrowanego zapobiegania i ograniczania (kontroli) zanieczyszczeń – IPPC.</w:t>
      </w:r>
    </w:p>
    <w:p>
      <w:pPr>
        <w:pStyle w:val="Normal"/>
        <w:numPr>
          <w:ilvl w:val="0"/>
          <w:numId w:val="3"/>
        </w:numPr>
        <w:ind w:left="709" w:hanging="312"/>
        <w:rPr>
          <w:color w:val="00000A"/>
          <w:szCs w:val="24"/>
        </w:rPr>
      </w:pPr>
      <w:r>
        <w:rPr>
          <w:color w:val="00000A"/>
          <w:szCs w:val="24"/>
        </w:rPr>
        <w:t xml:space="preserve">Dyrektywa 1994/62/WE w sprawie opakowań i odpadów opakowaniowych (zm. 1882/2003/WE, 2004/12/WE, 2005/20/WE). </w:t>
      </w:r>
    </w:p>
    <w:p>
      <w:pPr>
        <w:pStyle w:val="Normal"/>
        <w:numPr>
          <w:ilvl w:val="0"/>
          <w:numId w:val="3"/>
        </w:numPr>
        <w:ind w:left="709" w:hanging="312"/>
        <w:rPr>
          <w:color w:val="00000A"/>
          <w:szCs w:val="24"/>
        </w:rPr>
      </w:pPr>
      <w:r>
        <w:rPr>
          <w:color w:val="00000A"/>
          <w:szCs w:val="24"/>
        </w:rPr>
        <w:t xml:space="preserve">Dyrektywa 2004/8/WE w sprawie wspierania kogeneracji w oparciu o zapotrzebowanie na ciepło użytkowe na rynku wewnętrznym energii oraz zmieniająca dyrektywę 92/42/EWG. </w:t>
      </w:r>
    </w:p>
    <w:p>
      <w:pPr>
        <w:pStyle w:val="Normal"/>
        <w:rPr>
          <w:szCs w:val="24"/>
        </w:rPr>
      </w:pPr>
      <w:r>
        <w:rPr>
          <w:szCs w:val="24"/>
        </w:rPr>
        <w:t xml:space="preserve">Przyjęta przez Parlament Europejski w dniu 11 grudnia 2008 r. nowa ramowa dyrektywa w sprawie odpadów, zakłada bardziej precyzyjne zdefiniowanie pojęcia odpadu oraz działań klasyfikowanych jako odzysk. Dyrektywa stwarza podstawę do ustalenia kiedy odpad przestaje być odpadem, a staje się produktem. Spalanie odpadów traktowane jest jako jedna z form odzysku. </w:t>
      </w:r>
    </w:p>
    <w:p>
      <w:pPr>
        <w:pStyle w:val="Normal"/>
        <w:rPr>
          <w:szCs w:val="24"/>
        </w:rPr>
      </w:pPr>
      <w:r>
        <w:rPr>
          <w:szCs w:val="24"/>
        </w:rPr>
        <w:t xml:space="preserve">Podstawowymi aktami prawnymi regulującymi gospodarkę odpadami w Polsce odnoszącymi się do planowanego przedsięwzięcia są:  </w:t>
      </w:r>
    </w:p>
    <w:p>
      <w:pPr>
        <w:pStyle w:val="Normal"/>
        <w:numPr>
          <w:ilvl w:val="0"/>
          <w:numId w:val="3"/>
        </w:numPr>
        <w:ind w:left="709" w:hanging="312"/>
        <w:rPr>
          <w:color w:val="00000A"/>
          <w:szCs w:val="24"/>
        </w:rPr>
      </w:pPr>
      <w:r>
        <w:rPr>
          <w:color w:val="00000A"/>
          <w:szCs w:val="24"/>
        </w:rPr>
        <w:t>Ustawa z dnia 27 kwietnia 2001 r. Prawo ochrony środowiska (Dz.U.2017.519 t.j.).</w:t>
      </w:r>
    </w:p>
    <w:p>
      <w:pPr>
        <w:pStyle w:val="Normal"/>
        <w:numPr>
          <w:ilvl w:val="0"/>
          <w:numId w:val="3"/>
        </w:numPr>
        <w:ind w:left="709" w:hanging="312"/>
        <w:rPr>
          <w:color w:val="00000A"/>
          <w:szCs w:val="24"/>
        </w:rPr>
      </w:pPr>
      <w:r>
        <w:rPr>
          <w:color w:val="00000A"/>
          <w:szCs w:val="24"/>
        </w:rPr>
        <w:t>Ustawa z dnia 14 grudnia 2012 r. o odpadach (Dz.U.2018.21 t.j.).</w:t>
      </w:r>
    </w:p>
    <w:p>
      <w:pPr>
        <w:pStyle w:val="Normal"/>
        <w:numPr>
          <w:ilvl w:val="0"/>
          <w:numId w:val="3"/>
        </w:numPr>
        <w:ind w:left="709" w:hanging="312"/>
        <w:rPr>
          <w:color w:val="00000A"/>
          <w:szCs w:val="24"/>
        </w:rPr>
      </w:pPr>
      <w:r>
        <w:rPr>
          <w:color w:val="00000A"/>
          <w:szCs w:val="24"/>
        </w:rPr>
        <w:t xml:space="preserve">Ustawa z dnia 13 czerwca 2013 r. o gospodarce opakowaniami i odpadami opakowaniowymi (Dz.U.2018.150 t.j.). </w:t>
      </w:r>
    </w:p>
    <w:p>
      <w:pPr>
        <w:pStyle w:val="Normal"/>
        <w:rPr>
          <w:szCs w:val="24"/>
        </w:rPr>
      </w:pPr>
      <w:r>
        <w:rPr>
          <w:szCs w:val="24"/>
        </w:rPr>
        <w:t xml:space="preserve">Planowane przedsięwzięcie ograniczać będą w największym możliwym w praktyce stopniu negatywne skutki dla środowiska oraz dla zdrowia ludzkiego, wynikające z konieczności zagospodarowania odpadów jak i funkcjonowania samej instalacji. Zastosowana zostanie najlepsza dostępna technika, zgodne z obowiązującym prawodawstwem. </w:t>
      </w:r>
    </w:p>
    <w:p>
      <w:pPr>
        <w:pStyle w:val="Normal"/>
        <w:rPr>
          <w:szCs w:val="24"/>
        </w:rPr>
      </w:pPr>
      <w:r>
        <w:rPr>
          <w:szCs w:val="24"/>
        </w:rPr>
        <w:t xml:space="preserve">Realizacja przedsięwzięcia pozwoli zminimalizować składowanie odpadów, które nie zostałyby poddane procesom odzysku lub recyklingu, co jest równoznaczne z wypełnieniem standardów zalecanych przez Radę Europy oraz wymogów dyrektyw 2008/98/WE i 1999/31/WE. </w:t>
      </w:r>
    </w:p>
    <w:p>
      <w:pPr>
        <w:pStyle w:val="Normal"/>
        <w:rPr>
          <w:szCs w:val="24"/>
        </w:rPr>
      </w:pPr>
      <w:r>
        <w:rPr>
          <w:szCs w:val="24"/>
        </w:rPr>
        <w:t xml:space="preserve">Przedsięwzięcie będące przedmiotem niniejszego raportu jest zgodne z ustawodawstwem polskim oraz wspólnotowym. Jego realizacja wpłynie na osiągnięcie standardów obowiązujących kraje członkowskie UE, w szczególności dotyczących osiągnięcia poziomów odzysku, ograniczenia składowania odpadów (w tym odpadów palnych) oraz wykorzystania odpadów jako źródła energii. </w:t>
      </w:r>
    </w:p>
    <w:p>
      <w:pPr>
        <w:pStyle w:val="Normal"/>
        <w:rPr>
          <w:szCs w:val="24"/>
        </w:rPr>
      </w:pPr>
      <w:r>
        <w:rPr>
          <w:szCs w:val="24"/>
        </w:rPr>
        <w:t xml:space="preserve">Zgodnie z rozporządzeniem Ministra Gospodarki </w:t>
      </w:r>
      <w:r>
        <w:rPr>
          <w:i/>
          <w:szCs w:val="24"/>
        </w:rPr>
        <w:t>z dnia 16 lipca 2015 r. w sprawie dopuszczania odpadów do składowania na składowiskach</w:t>
      </w:r>
      <w:r>
        <w:rPr>
          <w:szCs w:val="24"/>
        </w:rPr>
        <w:t xml:space="preserve"> (Dz.U.2015.1277) począwszy od 2016 r. istnieje zakaz składowania na składowiskach odpadów innych niż niebezpieczne i obojętne o cieple spalania powyżej 6 MJ/kg suchej masy. Dotyczy to między innymi odpadów, które powstają w procesie sortowania odpadów innych niż niebezpieczne ze strumienia odpadów komunalnych o kodzie 19 12 12 – i</w:t>
      </w:r>
      <w:r>
        <w:rPr/>
        <w:t xml:space="preserve">nne odpady (w tym zmieszane substancje i przedmioty) z mechanicznej obróbki odpadów inne niż wymienione w 19 12 11. Tego rodzaju odpady stanowią podstawę do produkcji paliwa alternatywnego (odpad o kodzie 19 12 10). Spółka Beskid Żywiec Sp. z o.o. w ramach prowadzonej działalności jest obecnie zmuszona do przekazywania tego rodzaju odpadów podmiotom prowadzącym działalność w zakresie ich przetwarzania na paliwo alternatywne. Odbywa się to w drodze przetargów i stanowi dodatkowe obciążenie ekonomiczne, mające wpływ na koszty gospodarowania odpadami na terenie obsługiwanym przez Spółkę. </w:t>
      </w:r>
    </w:p>
    <w:p>
      <w:pPr>
        <w:pStyle w:val="Normal"/>
        <w:rPr>
          <w:b/>
          <w:b/>
          <w:color w:val="00000A"/>
          <w:szCs w:val="24"/>
        </w:rPr>
      </w:pPr>
      <w:r>
        <w:rPr>
          <w:b/>
          <w:color w:val="00000A"/>
          <w:szCs w:val="24"/>
        </w:rPr>
      </w:r>
    </w:p>
    <w:p>
      <w:pPr>
        <w:pStyle w:val="Nagwek3"/>
        <w:numPr>
          <w:ilvl w:val="2"/>
          <w:numId w:val="2"/>
        </w:numPr>
        <w:ind w:hanging="851"/>
        <w:rPr/>
      </w:pPr>
      <w:bookmarkStart w:id="7" w:name="_Toc518331270"/>
      <w:r>
        <w:rPr/>
        <w:t>Zgodność przedsięwzięcia z dokumentami strategicznymi oraz uwarunkowaniami wynikającymi z miejscowego planu zagospodarowania przestrzennego</w:t>
      </w:r>
      <w:bookmarkEnd w:id="7"/>
      <w:r>
        <w:rPr/>
        <w:t xml:space="preserve"> </w:t>
      </w:r>
    </w:p>
    <w:p>
      <w:pPr>
        <w:pStyle w:val="Nagwek4"/>
        <w:numPr>
          <w:ilvl w:val="3"/>
          <w:numId w:val="2"/>
        </w:numPr>
        <w:ind w:hanging="992"/>
        <w:rPr/>
      </w:pPr>
      <w:r>
        <w:rPr/>
        <w:t>Strategia zrównoważonego rozwoju społeczno – gospodarczego powiatu żywieckiego na lata 2006 – 2020</w:t>
      </w:r>
    </w:p>
    <w:p>
      <w:pPr>
        <w:pStyle w:val="Normal"/>
        <w:rPr/>
      </w:pPr>
      <w:r>
        <w:rPr/>
        <w:t xml:space="preserve">Aktualizacja strategii zrównoważonego rozwoju społeczno - gospodarczego powiatu żywieckiego na lata 2006 – 2020 z 2014 r., została przyjęta uchwałą Rady Powiatu Żywieckiego Nr XXXIX/364/2014 z dnia 30 czerwca 2014 r. Strategia definiuje problem nadmiernego zanieczyszczenia powietrza na terenie powiatu żywieckiego, jako jeden z kluczowych problemów środowiskowych. Dokument ten określa priorytety, cele strategiczne i operacyjne oraz zadania służące zrównoważonemu rozwojowi powiatu. Jednym z celów jest eliminacja zagrożeń środowiskowych i racjonalizacja ochrony środowiska m.in. poprzez zmniejszenie ładunków zanieczyszczeń odprowadzanych do środowiska, w tym przez wykorzystanie odnawialnych źródeł energii. </w:t>
      </w:r>
    </w:p>
    <w:p>
      <w:pPr>
        <w:pStyle w:val="Normal"/>
        <w:rPr/>
      </w:pPr>
      <w:r>
        <w:rPr/>
        <w:t xml:space="preserve">Energia cieplna otrzymana w wyniku eksploatacji planowanego przedsięwzięcia w części może być zakwalifikowana jako energia pochodząca z odnawialnego źródła energii, zgodnie </w:t>
        <w:br/>
        <w:t xml:space="preserve">z kryteriami określonymi w Rozporządzeniu Ministra Środowiska z dnia 8 czerwca 2016 r. </w:t>
        <w:br/>
      </w:r>
      <w:r>
        <w:rPr>
          <w:i/>
        </w:rPr>
        <w:t xml:space="preserve">w sprawie warunków technicznych kwalifikowania części energii odzyskanej z termicznego przekształcania odpadów </w:t>
      </w:r>
      <w:r>
        <w:rPr/>
        <w:t>(Dz.U.2016.847). Na dzień sporządzania niniejszego raportu akt ten pozostaje uchylony, ma jednak zostać zastąpiony w systemie prawnym aktem analogicznym, wydanym w oparciu o nowelizację ustawy o odpadach. Co do zasady przyjęte założenia będą powtórzone, ponieważ jest to zgodne z prawodawstwem UE.</w:t>
      </w:r>
    </w:p>
    <w:p>
      <w:pPr>
        <w:pStyle w:val="Normal"/>
        <w:spacing w:lineRule="auto" w:line="360"/>
        <w:rPr/>
      </w:pPr>
      <w:r>
        <w:rPr/>
      </w:r>
    </w:p>
    <w:p>
      <w:pPr>
        <w:pStyle w:val="Nagwek4"/>
        <w:numPr>
          <w:ilvl w:val="3"/>
          <w:numId w:val="2"/>
        </w:numPr>
        <w:ind w:hanging="992"/>
        <w:rPr/>
      </w:pPr>
      <w:r>
        <w:rPr/>
        <w:t>Plan Gospodarki Niskoemisyjnej Miasta Żywca</w:t>
      </w:r>
    </w:p>
    <w:p>
      <w:pPr>
        <w:pStyle w:val="Normal"/>
        <w:rPr/>
      </w:pPr>
      <w:r>
        <w:rPr/>
        <w:t>Zgodnie</w:t>
      </w:r>
      <w:r>
        <w:rPr>
          <w:szCs w:val="24"/>
        </w:rPr>
        <w:t xml:space="preserve"> z informacjami umieszczonymi na stronie internetowej Urzędu Mi</w:t>
      </w:r>
      <w:r>
        <w:rPr/>
        <w:t>ejskiego w Żywcu</w:t>
      </w:r>
      <w:r>
        <w:rPr>
          <w:szCs w:val="24"/>
        </w:rPr>
        <w:t xml:space="preserve"> </w:t>
      </w:r>
      <w:r>
        <w:rPr/>
        <w:t>„przywrócenie czystości powietrza to jedno z najważniejszych ekologicznych wyzwań stojących przed regionem w najbliższych latach. Wytężone wysiłki na rzecz ograniczenia niskiej emisji, w połączeniu z aktywnymi działaniami w zakresie rewitalizacji rzek, potoków i Jeziora Żywieckiego, jak również zintegrowane zarządzanie gospodarką energetyczną oraz zaopatrzeniem w nośniki energii – to nowatorskie działania, których celem jest przywrócenie Żywiecczyźnie wizerunku regionu atrakcyjnego przyrodniczo, przyjaznego pod względem zdrowotnym dla mieszkańców i turystów”.</w:t>
      </w:r>
    </w:p>
    <w:p>
      <w:pPr>
        <w:pStyle w:val="NormalWeb"/>
        <w:shd w:val="clear" w:color="auto" w:fill="FFFFFF"/>
        <w:spacing w:beforeAutospacing="0" w:before="0" w:afterAutospacing="0" w:after="0"/>
        <w:rPr/>
      </w:pPr>
      <w:r>
        <w:rPr/>
        <w:t>Mając na uwadze dobro mieszkańców oraz gości odwiedzających miasto i okolice - władze Miasta Żywca podjęły decyzję o przygotowaniu Planu Gospodarki Niskoemisyjnej (dalej: PGN). Stworzenie Planu jest również niezbędne, aby lokalny samorząd oraz przedsiębiorcy z terenu Żywca mogli ubiegać się o środki w ramach nowej perspektywy finansowej Unii Europejskiej na lata 2014-2020 (m.in. z Regionalnego Programu Operacyjnego Województwa śląskiego 2014-2020).”</w:t>
      </w:r>
    </w:p>
    <w:p>
      <w:pPr>
        <w:pStyle w:val="Normal"/>
        <w:rPr>
          <w:color w:val="00000A"/>
          <w:szCs w:val="24"/>
        </w:rPr>
      </w:pPr>
      <w:r>
        <w:rPr/>
        <w:t>PGN jest dokumentem o charakterze strategicznym, obejmującym swoim zakresem Miasto Żywiec. Zasadniczym celem działań jest ograniczenie zużycia energii, powiązane ze zmniejszeniem emisji CO</w:t>
      </w:r>
      <w:r>
        <w:rPr>
          <w:vertAlign w:val="subscript"/>
        </w:rPr>
        <w:t>2</w:t>
      </w:r>
      <w:r>
        <w:rPr/>
        <w:t xml:space="preserve"> oraz innych szkodliwych związków do atmosfery, co przyczyni się do poprawy jakości powietrza na obszarach, na których odnotowano przekroczenia standardów jakości powietrza. W dokumencie opisano działania, jakie realizuje lub zamierza realizować Miasto Żywiec do roku 2020 oraz które mogą zostać podjęte w przyszłości, w celu poprawy jakości powietrza.</w:t>
      </w:r>
    </w:p>
    <w:p>
      <w:pPr>
        <w:pStyle w:val="Normal"/>
        <w:rPr/>
      </w:pPr>
      <w:r>
        <w:rPr/>
        <w:t>Wśród głównych działań na rzecz gospodarki niskoemisyjnej autorzy Planu wskazują:</w:t>
      </w:r>
    </w:p>
    <w:p>
      <w:pPr>
        <w:pStyle w:val="Normal"/>
        <w:numPr>
          <w:ilvl w:val="0"/>
          <w:numId w:val="3"/>
        </w:numPr>
        <w:ind w:left="709" w:hanging="312"/>
        <w:rPr>
          <w:color w:val="00000A"/>
          <w:szCs w:val="24"/>
        </w:rPr>
      </w:pPr>
      <w:r>
        <w:rPr>
          <w:color w:val="00000A"/>
          <w:szCs w:val="24"/>
        </w:rPr>
        <w:t xml:space="preserve">poprawę efektywności energetycznej, </w:t>
      </w:r>
    </w:p>
    <w:p>
      <w:pPr>
        <w:pStyle w:val="Normal"/>
        <w:numPr>
          <w:ilvl w:val="0"/>
          <w:numId w:val="3"/>
        </w:numPr>
        <w:ind w:left="709" w:hanging="312"/>
        <w:rPr>
          <w:color w:val="00000A"/>
          <w:szCs w:val="24"/>
        </w:rPr>
      </w:pPr>
      <w:r>
        <w:rPr>
          <w:color w:val="00000A"/>
          <w:szCs w:val="24"/>
        </w:rPr>
        <w:t xml:space="preserve">wdrażanie nowych technologii niskoemisyjnych, </w:t>
      </w:r>
    </w:p>
    <w:p>
      <w:pPr>
        <w:pStyle w:val="Normal"/>
        <w:numPr>
          <w:ilvl w:val="0"/>
          <w:numId w:val="3"/>
        </w:numPr>
        <w:ind w:left="709" w:hanging="312"/>
        <w:rPr>
          <w:color w:val="00000A"/>
          <w:szCs w:val="24"/>
        </w:rPr>
      </w:pPr>
      <w:r>
        <w:rPr>
          <w:color w:val="00000A"/>
          <w:szCs w:val="24"/>
        </w:rPr>
        <w:t xml:space="preserve">pozyskiwanie energii ze źródeł odnawialnych. </w:t>
      </w:r>
    </w:p>
    <w:p>
      <w:pPr>
        <w:pStyle w:val="Normal"/>
        <w:rPr/>
      </w:pPr>
      <w:r>
        <w:rPr/>
        <w:t>Mając na uwadze powyższe należy uznać, że planowane przedsięwzięcie we właściwy sposób wpisuje się w ramy Planu, ponieważ wiąże się z wdrożeniem nowych technologii niskoemisyjnych, które w dodatku częściowo posiadają walor OZE.</w:t>
      </w:r>
    </w:p>
    <w:p>
      <w:pPr>
        <w:pStyle w:val="Normal"/>
        <w:rPr>
          <w:b/>
          <w:b/>
          <w:color w:val="00000A"/>
          <w:szCs w:val="24"/>
        </w:rPr>
      </w:pPr>
      <w:r>
        <w:rPr>
          <w:b/>
          <w:color w:val="00000A"/>
          <w:szCs w:val="24"/>
        </w:rPr>
      </w:r>
    </w:p>
    <w:p>
      <w:pPr>
        <w:pStyle w:val="Nagwek4"/>
        <w:numPr>
          <w:ilvl w:val="3"/>
          <w:numId w:val="2"/>
        </w:numPr>
        <w:ind w:hanging="992"/>
        <w:rPr/>
      </w:pPr>
      <w:r>
        <w:rPr/>
        <w:t xml:space="preserve">Miejscowy plan zagospodarowania przestrzennego </w:t>
      </w:r>
    </w:p>
    <w:p>
      <w:pPr>
        <w:pStyle w:val="Normal"/>
        <w:rPr>
          <w:szCs w:val="24"/>
        </w:rPr>
      </w:pPr>
      <w:r>
        <w:rPr>
          <w:szCs w:val="24"/>
        </w:rPr>
        <w:t xml:space="preserve">Zgodnie z miejscowym planem zagospodarowania przestrzennego miasta Żywca zatwierdzonego uchwałą Nr LIII/377/2013 Rady Miejskiej w Żywcu z dnia 28 listopada 2013 r., działka nr 1019/140 </w:t>
      </w:r>
      <w:r>
        <w:rPr>
          <w:color w:val="00000A"/>
          <w:szCs w:val="24"/>
        </w:rPr>
        <w:t xml:space="preserve">obręb 0007 Żywiec położona  jest </w:t>
      </w:r>
      <w:r>
        <w:rPr>
          <w:szCs w:val="24"/>
        </w:rPr>
        <w:t xml:space="preserve">w obszarze oznaczonym symbolem C4.4 - 10 PP – Tereny obiektów produkcyjnych, składów, magazynów. Dla terenów oznaczonych </w:t>
      </w:r>
      <w:r>
        <w:rPr/>
        <w:t>symbolem</w:t>
      </w:r>
      <w:r>
        <w:rPr>
          <w:szCs w:val="24"/>
        </w:rPr>
        <w:t xml:space="preserve"> PP jako podstawowe przeznaczenie ustala się: tereny zabudowy wytwórczości przemysłowej, komercyjne tereny przemysłowo-usługowe, zabudowa przemysłu spożywczego, bazy, składy, magazyny (samodzielne), zabudowa warsztatów i rzemiosła produkcyjnego. Ustala się nakaz wprowadzania zieleni izolacyjnej od strony terenów mieszkaniowych oraz nakaz ujmowania całości wód opadowych z utwardzonych dróg, placów manewrowych, postojowych i magazynowo-składowych oraz odprowadzenia poprzez separatory. </w:t>
      </w:r>
    </w:p>
    <w:p>
      <w:pPr>
        <w:pStyle w:val="Normal"/>
        <w:rPr>
          <w:szCs w:val="24"/>
        </w:rPr>
      </w:pPr>
      <w:r>
        <w:rPr>
          <w:szCs w:val="24"/>
        </w:rPr>
        <w:t>Przedsięwzięcie położone jest w strefie ochrony sanitarnej cmentarza przy ul. Stolarskiej. Z punktu widzenia planowanej działalności, taka lokalizacja nie powoduje ograniczeń w użytkowaniu terenu.</w:t>
      </w:r>
    </w:p>
    <w:p>
      <w:pPr>
        <w:pStyle w:val="Normal"/>
        <w:rPr/>
      </w:pPr>
      <w:r>
        <w:rPr/>
        <w:t>Planowane przedsięwzięcie jest zgodne z miejscowym planem zagospodarowania przestrzennego dla działki nr 1019/140 obręb 0007 Żywiec.</w:t>
      </w:r>
    </w:p>
    <w:p>
      <w:pPr>
        <w:pStyle w:val="Normal"/>
        <w:spacing w:lineRule="auto" w:line="360"/>
        <w:rPr>
          <w:szCs w:val="24"/>
        </w:rPr>
      </w:pPr>
      <w:r>
        <w:rPr>
          <w:szCs w:val="24"/>
        </w:rPr>
      </w:r>
    </w:p>
    <w:p>
      <w:pPr>
        <w:pStyle w:val="Nagwek3"/>
        <w:numPr>
          <w:ilvl w:val="2"/>
          <w:numId w:val="2"/>
        </w:numPr>
        <w:ind w:hanging="851"/>
        <w:rPr/>
      </w:pPr>
      <w:bookmarkStart w:id="8" w:name="_Toc518331271"/>
      <w:bookmarkEnd w:id="8"/>
      <w:r>
        <w:rPr/>
        <w:t>Zgodność przedsięwzięcia z Planami Gospodarki Odpadami</w:t>
      </w:r>
    </w:p>
    <w:p>
      <w:pPr>
        <w:pStyle w:val="Normal"/>
        <w:rPr/>
      </w:pPr>
      <w:r>
        <w:rPr/>
        <w:t xml:space="preserve">Budowa ciepłowni na biomasę i paliwo alternatywne wpłynie na realizację wymagań wynikających z zapisów Krajowego planu gospodarki odpadami 2022, Projektu Planu gospodarki odpadami dla województwa śląskiego na lata 2016-2022, które mają na celu dalsze wdrażanie prawa Unii Europejskiej w zakresie gospodarki odpadami w Polsce. Jest to przede wszystkim związane ze </w:t>
      </w:r>
      <w:r>
        <w:rPr>
          <w:color w:val="00000A"/>
          <w:szCs w:val="24"/>
        </w:rPr>
        <w:t xml:space="preserve">zwiększeniem stopnia odzysku odpadów. </w:t>
      </w:r>
      <w:r>
        <w:rPr/>
        <w:t xml:space="preserve">Zastosowana metoda termicznego przekształcania odpadów z odzyskiem energii pozwoli na:  </w:t>
      </w:r>
    </w:p>
    <w:p>
      <w:pPr>
        <w:pStyle w:val="Normal"/>
        <w:numPr>
          <w:ilvl w:val="0"/>
          <w:numId w:val="3"/>
        </w:numPr>
        <w:ind w:left="709" w:hanging="312"/>
        <w:rPr>
          <w:color w:val="00000A"/>
          <w:szCs w:val="24"/>
        </w:rPr>
      </w:pPr>
      <w:r>
        <w:rPr>
          <w:color w:val="00000A"/>
          <w:szCs w:val="24"/>
        </w:rPr>
        <w:t xml:space="preserve">unieszkodliwienie do około 12000 Mg odpadów o kaloryczności powyżej 6 MJ/kg suchej masy rocznie, </w:t>
      </w:r>
    </w:p>
    <w:p>
      <w:pPr>
        <w:pStyle w:val="Normal"/>
        <w:numPr>
          <w:ilvl w:val="0"/>
          <w:numId w:val="3"/>
        </w:numPr>
        <w:ind w:left="709" w:hanging="312"/>
        <w:rPr>
          <w:color w:val="00000A"/>
          <w:szCs w:val="24"/>
        </w:rPr>
      </w:pPr>
      <w:r>
        <w:rPr>
          <w:color w:val="00000A"/>
          <w:szCs w:val="24"/>
        </w:rPr>
        <w:t xml:space="preserve">zachowanie najwyższych standardów ochrony środowiska, </w:t>
      </w:r>
    </w:p>
    <w:p>
      <w:pPr>
        <w:pStyle w:val="Normal"/>
        <w:numPr>
          <w:ilvl w:val="0"/>
          <w:numId w:val="3"/>
        </w:numPr>
        <w:ind w:left="709" w:hanging="312"/>
        <w:rPr>
          <w:color w:val="00000A"/>
          <w:szCs w:val="24"/>
        </w:rPr>
      </w:pPr>
      <w:r>
        <w:rPr>
          <w:color w:val="00000A"/>
          <w:szCs w:val="24"/>
        </w:rPr>
        <w:t>odzysk energii z odpadów nie nadających się do recyklingu,</w:t>
      </w:r>
    </w:p>
    <w:p>
      <w:pPr>
        <w:pStyle w:val="Normal"/>
        <w:numPr>
          <w:ilvl w:val="0"/>
          <w:numId w:val="3"/>
        </w:numPr>
        <w:ind w:left="709" w:hanging="312"/>
        <w:rPr>
          <w:color w:val="00000A"/>
          <w:szCs w:val="24"/>
        </w:rPr>
      </w:pPr>
      <w:r>
        <w:rPr>
          <w:color w:val="00000A"/>
          <w:szCs w:val="24"/>
        </w:rPr>
        <w:t xml:space="preserve">produkcję energii ze źródeł odnawialnych,  </w:t>
      </w:r>
    </w:p>
    <w:p>
      <w:pPr>
        <w:pStyle w:val="Normal"/>
        <w:numPr>
          <w:ilvl w:val="0"/>
          <w:numId w:val="3"/>
        </w:numPr>
        <w:ind w:left="709" w:hanging="312"/>
        <w:rPr/>
      </w:pPr>
      <w:r>
        <w:rPr>
          <w:color w:val="00000A"/>
          <w:szCs w:val="24"/>
        </w:rPr>
        <w:t>obniżenie kosztu przekształcania odpadów w lokalnym systemie gospodarki odpadami, poprzez redukcję masy odpadów przekazywanych do przetwarzania innym podmiotom.</w:t>
      </w:r>
    </w:p>
    <w:p>
      <w:pPr>
        <w:pStyle w:val="Normal"/>
        <w:rPr/>
      </w:pPr>
      <w:r>
        <w:rPr/>
      </w:r>
    </w:p>
    <w:p>
      <w:pPr>
        <w:pStyle w:val="Nagwek4"/>
        <w:numPr>
          <w:ilvl w:val="3"/>
          <w:numId w:val="2"/>
        </w:numPr>
        <w:ind w:hanging="992"/>
        <w:rPr/>
      </w:pPr>
      <w:r>
        <w:rPr/>
        <w:t xml:space="preserve"> </w:t>
      </w:r>
      <w:r>
        <w:rPr/>
        <w:t xml:space="preserve">Krajowy plan gospodarki odpadami (Kpgo 2014) </w:t>
      </w:r>
    </w:p>
    <w:p>
      <w:pPr>
        <w:pStyle w:val="Normal"/>
        <w:rPr/>
      </w:pPr>
      <w:r>
        <w:rPr/>
        <w:t xml:space="preserve">Krajowy plan gospodarki odpadami 2022 (dalej: Kpgo2022) przyjęty został Uchwałą Nr 88 Rady Ministrów z dnia 1 lipca 2016 r. (M.P. z dnia 11 sierpnia 2016 r., poz. 784). </w:t>
      </w:r>
    </w:p>
    <w:p>
      <w:pPr>
        <w:pStyle w:val="Normal"/>
        <w:rPr/>
      </w:pPr>
      <w:r>
        <w:rPr/>
        <w:t xml:space="preserve">Punkt wyjścia do opracowania Kpgo2022 stanowi hierarchia sposobów postępowania </w:t>
        <w:br/>
        <w:t xml:space="preserve">z odpadami określona w dyrektywie Parlamentu Europejskiego i Rady 2008/98/WE z dnia 19 listopada 2008 r. w sprawie odpadów oraz uchylającej niektóre dyrektywy oraz w ustawie </w:t>
        <w:br/>
        <w:t xml:space="preserve">o odpadach: zapobieganie powstawaniu odpadów, przygotowanie do ponownego użycia, recykling, inne procesy odzysku, w ostateczności unieszkodliwianie. </w:t>
      </w:r>
    </w:p>
    <w:p>
      <w:pPr>
        <w:pStyle w:val="Normal"/>
        <w:rPr/>
      </w:pPr>
      <w:r>
        <w:rPr/>
        <w:t xml:space="preserve">Kpgo2022 jest dokumentem mającym wpisywać się w strategiczne dokumenty przyjęte na poziomie UE i krajowym. Jednym z takich dokumentów jest decyzja 1386/2013/UE Parlamentu Europejskiego i Rady z dnia 20 listopada 2013 r. ustanawiająca siódmy wspólnotowy program działań w zakresie środowiska naturalnego (Dz. Urz. WE L 354 z 28.12.2013, str. 171), w której określono następujące zadania w zakresie gospodarki odpadami:  </w:t>
      </w:r>
    </w:p>
    <w:p>
      <w:pPr>
        <w:pStyle w:val="Normal"/>
        <w:numPr>
          <w:ilvl w:val="0"/>
          <w:numId w:val="11"/>
        </w:numPr>
        <w:shd w:val="clear" w:color="auto" w:fill="FFFFFF"/>
        <w:rPr>
          <w:rFonts w:ascii="Open Sans" w:hAnsi="Open Sans"/>
          <w:color w:val="00000A"/>
        </w:rPr>
      </w:pPr>
      <w:r>
        <w:rPr>
          <w:rFonts w:ascii="Open Sans" w:hAnsi="Open Sans"/>
          <w:color w:val="00000A"/>
        </w:rPr>
        <w:t xml:space="preserve">ochrona środowiska i zdrowia ludzi poprzez zapobieganie negatywnemu wpływowi wytwarzania odpadów i gospodarowania nimi, lub zmniejszanie go, oraz przez zmniejszenie ogólnych skutków użytkowania zasobów i poprawę efektywności takiego użytkowania dzięki stosowaniu następującej hierarchii postępowania z odpadami: zapobieganie, przygotowanie do ponownego użycia, recykling, inne metody odzysku oraz unieszkodliwianie,  </w:t>
      </w:r>
    </w:p>
    <w:p>
      <w:pPr>
        <w:pStyle w:val="Normal"/>
        <w:numPr>
          <w:ilvl w:val="0"/>
          <w:numId w:val="11"/>
        </w:numPr>
        <w:shd w:val="clear" w:color="auto" w:fill="FFFFFF"/>
        <w:rPr>
          <w:rFonts w:ascii="Open Sans" w:hAnsi="Open Sans"/>
          <w:color w:val="00000A"/>
        </w:rPr>
      </w:pPr>
      <w:r>
        <w:rPr>
          <w:rFonts w:ascii="Open Sans" w:hAnsi="Open Sans"/>
          <w:color w:val="00000A"/>
        </w:rPr>
        <w:t xml:space="preserve">pilne zwiększenie wysiłków, między innymi w celu zwalczania zanieczyszczenia </w:t>
        <w:br/>
        <w:t xml:space="preserve">i ustanowienia ogólnounijnego głównego celu ilościowego w zakresie ograniczenia ilości odpadów wyrzucanych do mórz, przy uwzględnieniu strategii morskich ustanowionych przez państwa członkowskie,  </w:t>
      </w:r>
    </w:p>
    <w:p>
      <w:pPr>
        <w:pStyle w:val="Normal"/>
        <w:numPr>
          <w:ilvl w:val="0"/>
          <w:numId w:val="11"/>
        </w:numPr>
        <w:shd w:val="clear" w:color="auto" w:fill="FFFFFF"/>
        <w:rPr>
          <w:rFonts w:ascii="Open Sans" w:hAnsi="Open Sans"/>
          <w:color w:val="00000A"/>
        </w:rPr>
      </w:pPr>
      <w:r>
        <w:rPr>
          <w:rFonts w:ascii="Open Sans" w:hAnsi="Open Sans"/>
          <w:color w:val="00000A"/>
        </w:rPr>
        <w:t xml:space="preserve">poprawa działań w zakresie zapobiegania powstawaniu odpadów i gospodarki odpadami </w:t>
        <w:br/>
        <w:t xml:space="preserve">w UE, aby zapewnić między innymi lepsze wykorzystanie zasobów,  </w:t>
      </w:r>
    </w:p>
    <w:p>
      <w:pPr>
        <w:pStyle w:val="Normal"/>
        <w:numPr>
          <w:ilvl w:val="0"/>
          <w:numId w:val="11"/>
        </w:numPr>
        <w:shd w:val="clear" w:color="auto" w:fill="FFFFFF"/>
        <w:rPr>
          <w:rFonts w:ascii="Open Sans" w:hAnsi="Open Sans"/>
          <w:color w:val="00000A"/>
        </w:rPr>
      </w:pPr>
      <w:r>
        <w:rPr>
          <w:rFonts w:ascii="Open Sans" w:hAnsi="Open Sans"/>
          <w:color w:val="00000A"/>
        </w:rPr>
        <w:t xml:space="preserve">przekształcenie odpadów w zasoby, co wymaga pełnego wdrożenia unijnych przepisów dotyczących odpadów w całej UE, opartego na surowym przestrzeganiu hierarchii odpadów,  </w:t>
      </w:r>
    </w:p>
    <w:p>
      <w:pPr>
        <w:pStyle w:val="Normal"/>
        <w:numPr>
          <w:ilvl w:val="0"/>
          <w:numId w:val="11"/>
        </w:numPr>
        <w:shd w:val="clear" w:color="auto" w:fill="FFFFFF"/>
        <w:rPr>
          <w:rFonts w:ascii="Open Sans" w:hAnsi="Open Sans"/>
          <w:color w:val="00000A"/>
        </w:rPr>
      </w:pPr>
      <w:r>
        <w:rPr>
          <w:rFonts w:ascii="Open Sans" w:hAnsi="Open Sans"/>
          <w:color w:val="00000A"/>
        </w:rPr>
        <w:t xml:space="preserve">ograniczenie odzyskiwania energii do materiałów nienadających się do recyklingu, </w:t>
      </w:r>
    </w:p>
    <w:p>
      <w:pPr>
        <w:pStyle w:val="Normal"/>
        <w:numPr>
          <w:ilvl w:val="0"/>
          <w:numId w:val="11"/>
        </w:numPr>
        <w:shd w:val="clear" w:color="auto" w:fill="FFFFFF"/>
        <w:rPr>
          <w:rFonts w:ascii="Open Sans" w:hAnsi="Open Sans"/>
          <w:color w:val="00000A"/>
        </w:rPr>
      </w:pPr>
      <w:r>
        <w:rPr>
          <w:rFonts w:ascii="Open Sans" w:hAnsi="Open Sans"/>
          <w:color w:val="00000A"/>
        </w:rPr>
        <w:t xml:space="preserve">stopniowe wycofywanie składowania odpadów nadających się do recyklingu lub odzysku, </w:t>
      </w:r>
    </w:p>
    <w:p>
      <w:pPr>
        <w:pStyle w:val="Normal"/>
        <w:numPr>
          <w:ilvl w:val="0"/>
          <w:numId w:val="11"/>
        </w:numPr>
        <w:shd w:val="clear" w:color="auto" w:fill="FFFFFF"/>
        <w:spacing w:before="0" w:after="120"/>
        <w:ind w:left="357" w:hanging="357"/>
        <w:rPr>
          <w:rFonts w:ascii="Open Sans" w:hAnsi="Open Sans"/>
          <w:color w:val="00000A"/>
        </w:rPr>
      </w:pPr>
      <w:r>
        <w:rPr>
          <w:rFonts w:ascii="Open Sans" w:hAnsi="Open Sans"/>
          <w:color w:val="00000A"/>
        </w:rPr>
        <w:t xml:space="preserve">zapewnienie recyklingu najwyższej jakości, jeśli wykorzystanie materiału pochodzącego </w:t>
        <w:br/>
        <w:t xml:space="preserve">z recyklingu nie prowadzi do ogólnych negatywnych skutków dla środowiska lub zdrowia ludzi.  </w:t>
      </w:r>
    </w:p>
    <w:p>
      <w:pPr>
        <w:pStyle w:val="Normal"/>
        <w:rPr/>
      </w:pPr>
      <w:r>
        <w:rPr/>
        <w:t xml:space="preserve">Jednym z najważniejszych krajowych dokumentów strategicznych, w który wpisuje się Kpgo2022 jest Strategia Bezpieczeństwo Energetyczne i Środowisko, która stanowi strategiczne ramy dla dalszych prac programowych i wdrożeniowych. Celem głównym strategii jest: „zapewnienie wysokiej jakości życia obecnych i przyszłych pokoleń z uwzględnieniem ochrony środowiska oraz stworzenie warunków do zrównoważonego rozwoju nowoczesnego sektora energetycznego, zdolnego zapewnić Polsce bezpieczeństwo energetyczne oraz konkurencyjną i efektywną gospodarkę”. Strategia wskazuje trzy cele szczegółowe:  </w:t>
      </w:r>
    </w:p>
    <w:p>
      <w:pPr>
        <w:pStyle w:val="Normal"/>
        <w:numPr>
          <w:ilvl w:val="0"/>
          <w:numId w:val="12"/>
        </w:numPr>
        <w:shd w:val="clear" w:color="auto" w:fill="FFFFFF"/>
        <w:rPr>
          <w:rFonts w:ascii="Open Sans" w:hAnsi="Open Sans"/>
          <w:color w:val="00000A"/>
        </w:rPr>
      </w:pPr>
      <w:r>
        <w:rPr>
          <w:rFonts w:ascii="Open Sans" w:hAnsi="Open Sans"/>
          <w:color w:val="00000A"/>
        </w:rPr>
        <w:t xml:space="preserve">zrównoważone gospodarowanie zasobami środowiska, </w:t>
      </w:r>
    </w:p>
    <w:p>
      <w:pPr>
        <w:pStyle w:val="Normal"/>
        <w:numPr>
          <w:ilvl w:val="0"/>
          <w:numId w:val="12"/>
        </w:numPr>
        <w:shd w:val="clear" w:color="auto" w:fill="FFFFFF"/>
        <w:rPr>
          <w:rFonts w:ascii="Open Sans" w:hAnsi="Open Sans"/>
          <w:color w:val="00000A"/>
        </w:rPr>
      </w:pPr>
      <w:r>
        <w:rPr>
          <w:rFonts w:ascii="Open Sans" w:hAnsi="Open Sans"/>
          <w:color w:val="00000A"/>
        </w:rPr>
        <w:t xml:space="preserve">zapewnienie gospodarce krajowej bezpiecznego i konkurencyjnego zaopatrzenia w energię; </w:t>
      </w:r>
    </w:p>
    <w:p>
      <w:pPr>
        <w:pStyle w:val="Normal"/>
        <w:numPr>
          <w:ilvl w:val="0"/>
          <w:numId w:val="12"/>
        </w:numPr>
        <w:shd w:val="clear" w:color="auto" w:fill="FFFFFF"/>
        <w:spacing w:before="0" w:after="120"/>
        <w:ind w:left="357" w:hanging="357"/>
        <w:rPr>
          <w:rFonts w:ascii="Open Sans" w:hAnsi="Open Sans"/>
          <w:color w:val="00000A"/>
        </w:rPr>
      </w:pPr>
      <w:r>
        <w:rPr>
          <w:rFonts w:ascii="Open Sans" w:hAnsi="Open Sans"/>
          <w:color w:val="00000A"/>
        </w:rPr>
        <w:t xml:space="preserve">poprawa stanu środowiska. </w:t>
      </w:r>
    </w:p>
    <w:p>
      <w:pPr>
        <w:pStyle w:val="Normal"/>
        <w:rPr/>
      </w:pPr>
      <w:r>
        <w:rPr/>
        <w:t xml:space="preserve">Kpgo2022 obejmuje następujący zakres analityczny i planowania strategicznego, opracowany z perspektywy ogólnokrajowej: </w:t>
      </w:r>
    </w:p>
    <w:p>
      <w:pPr>
        <w:pStyle w:val="Normal"/>
        <w:numPr>
          <w:ilvl w:val="0"/>
          <w:numId w:val="13"/>
        </w:numPr>
        <w:shd w:val="clear" w:color="auto" w:fill="FFFFFF"/>
        <w:rPr>
          <w:rFonts w:ascii="Open Sans" w:hAnsi="Open Sans"/>
          <w:color w:val="00000A"/>
        </w:rPr>
      </w:pPr>
      <w:r>
        <w:rPr>
          <w:rFonts w:ascii="Open Sans" w:hAnsi="Open Sans"/>
          <w:color w:val="00000A"/>
        </w:rPr>
        <w:t>analizę</w:t>
      </w:r>
      <w:r>
        <w:rPr/>
        <w:t xml:space="preserve"> aktualnego stanu gospodarki odpadami w kraju, z uwzględnieniem </w:t>
      </w:r>
      <w:r>
        <w:rPr>
          <w:rFonts w:ascii="Open Sans" w:hAnsi="Open Sans"/>
          <w:color w:val="00000A"/>
        </w:rPr>
        <w:t xml:space="preserve">transgranicznego przemieszczania odpadów, w tym informacje na temat:  </w:t>
      </w:r>
    </w:p>
    <w:p>
      <w:pPr>
        <w:pStyle w:val="Normal"/>
        <w:numPr>
          <w:ilvl w:val="0"/>
          <w:numId w:val="14"/>
        </w:numPr>
        <w:rPr/>
      </w:pPr>
      <w:r>
        <w:rPr/>
        <w:t xml:space="preserve">rodzajów, ilości i źródła powstawania odpadów, </w:t>
      </w:r>
    </w:p>
    <w:p>
      <w:pPr>
        <w:pStyle w:val="Normal"/>
        <w:numPr>
          <w:ilvl w:val="0"/>
          <w:numId w:val="14"/>
        </w:numPr>
        <w:rPr/>
      </w:pPr>
      <w:r>
        <w:rPr/>
        <w:t xml:space="preserve">rodzajów i ilości odpadów poddawanych poszczególnym procesom odzysku, </w:t>
      </w:r>
    </w:p>
    <w:p>
      <w:pPr>
        <w:pStyle w:val="Normal"/>
        <w:numPr>
          <w:ilvl w:val="0"/>
          <w:numId w:val="14"/>
        </w:numPr>
        <w:rPr/>
      </w:pPr>
      <w:r>
        <w:rPr/>
        <w:t xml:space="preserve">rodzajów i ilości odpadów poddawanych poszczególnym procesom unieszkodliwiania, </w:t>
      </w:r>
    </w:p>
    <w:p>
      <w:pPr>
        <w:pStyle w:val="Normal"/>
        <w:numPr>
          <w:ilvl w:val="0"/>
          <w:numId w:val="14"/>
        </w:numPr>
        <w:rPr/>
      </w:pPr>
      <w:r>
        <w:rPr/>
        <w:t xml:space="preserve">istniejących systemów gospodarowania odpadami, w tym również zbierania odpadów, </w:t>
      </w:r>
    </w:p>
    <w:p>
      <w:pPr>
        <w:pStyle w:val="Normal"/>
        <w:numPr>
          <w:ilvl w:val="0"/>
          <w:numId w:val="14"/>
        </w:numPr>
        <w:rPr/>
      </w:pPr>
      <w:r>
        <w:rPr/>
        <w:t xml:space="preserve">rodzajów, liczby i mocy przerobowych instalacji do przetwarzania odpadów, </w:t>
      </w:r>
    </w:p>
    <w:p>
      <w:pPr>
        <w:pStyle w:val="Normal"/>
        <w:numPr>
          <w:ilvl w:val="0"/>
          <w:numId w:val="13"/>
        </w:numPr>
        <w:shd w:val="clear" w:color="auto" w:fill="FFFFFF"/>
        <w:rPr>
          <w:rFonts w:ascii="Open Sans" w:hAnsi="Open Sans"/>
          <w:color w:val="00000A"/>
        </w:rPr>
      </w:pPr>
      <w:r>
        <w:rPr>
          <w:rFonts w:ascii="Open Sans" w:hAnsi="Open Sans"/>
          <w:color w:val="00000A"/>
        </w:rPr>
        <w:t xml:space="preserve">ocenę funkcjonowania obecnych systemów gospodarki odpadami, identyfikację problemów w zakresie gospodarki odpadami dla poszczególnych strumieni odpadów, w tym ocenę potrzeb w skali kraju w zakresie tworzenia nowej infrastruktury,  </w:t>
      </w:r>
    </w:p>
    <w:p>
      <w:pPr>
        <w:pStyle w:val="Normal"/>
        <w:numPr>
          <w:ilvl w:val="0"/>
          <w:numId w:val="13"/>
        </w:numPr>
        <w:shd w:val="clear" w:color="auto" w:fill="FFFFFF"/>
        <w:rPr>
          <w:rFonts w:ascii="Open Sans" w:hAnsi="Open Sans"/>
          <w:color w:val="00000A"/>
        </w:rPr>
      </w:pPr>
      <w:r>
        <w:rPr>
          <w:rFonts w:ascii="Open Sans" w:hAnsi="Open Sans"/>
          <w:color w:val="00000A"/>
        </w:rPr>
        <w:t xml:space="preserve">prognozowane zmiany w zakresie wytwarzanych odpadów i sposobów ich zagospodarowania z perspektywą do 2030 r., w tym wynikające ze zmian demograficznych i gospodarczych,  </w:t>
      </w:r>
    </w:p>
    <w:p>
      <w:pPr>
        <w:pStyle w:val="Normal"/>
        <w:numPr>
          <w:ilvl w:val="0"/>
          <w:numId w:val="13"/>
        </w:numPr>
        <w:shd w:val="clear" w:color="auto" w:fill="FFFFFF"/>
        <w:rPr>
          <w:rFonts w:ascii="Open Sans" w:hAnsi="Open Sans"/>
          <w:color w:val="00000A"/>
        </w:rPr>
      </w:pPr>
      <w:r>
        <w:rPr>
          <w:rFonts w:ascii="Open Sans" w:hAnsi="Open Sans"/>
          <w:color w:val="00000A"/>
        </w:rPr>
        <w:t xml:space="preserve">określenie celów w zakresie gospodarki odpadami oraz rekomendacje dotyczące kierunków działań, w tym tworzenia nowych systemów gospodarki odpadami i tworzenia nowej infrastruktury oraz stosowanych technologii,  </w:t>
      </w:r>
    </w:p>
    <w:p>
      <w:pPr>
        <w:pStyle w:val="Normal"/>
        <w:numPr>
          <w:ilvl w:val="0"/>
          <w:numId w:val="13"/>
        </w:numPr>
        <w:shd w:val="clear" w:color="auto" w:fill="FFFFFF"/>
        <w:rPr>
          <w:rFonts w:ascii="Open Sans" w:hAnsi="Open Sans"/>
          <w:color w:val="00000A"/>
        </w:rPr>
      </w:pPr>
      <w:r>
        <w:rPr>
          <w:rFonts w:ascii="Open Sans" w:hAnsi="Open Sans"/>
          <w:color w:val="00000A"/>
        </w:rPr>
        <w:t xml:space="preserve">harmonogram realizacji zadań wynikających z przyjętych kierunków działań, określenie wykonawców i sposobu finansowania zadań,  </w:t>
      </w:r>
    </w:p>
    <w:p>
      <w:pPr>
        <w:pStyle w:val="Normal"/>
        <w:numPr>
          <w:ilvl w:val="0"/>
          <w:numId w:val="13"/>
        </w:numPr>
        <w:shd w:val="clear" w:color="auto" w:fill="FFFFFF"/>
        <w:rPr>
          <w:rFonts w:ascii="Open Sans" w:hAnsi="Open Sans"/>
          <w:color w:val="00000A"/>
        </w:rPr>
      </w:pPr>
      <w:r>
        <w:rPr>
          <w:rFonts w:ascii="Open Sans" w:hAnsi="Open Sans"/>
          <w:color w:val="00000A"/>
        </w:rPr>
        <w:t xml:space="preserve">wskaźniki dla monitorowania i oceny realizacji założonych celów. </w:t>
      </w:r>
    </w:p>
    <w:p>
      <w:pPr>
        <w:pStyle w:val="Normal"/>
        <w:rPr/>
      </w:pPr>
      <w:r>
        <w:rPr/>
        <w:t xml:space="preserve">Głównym celem Kpgo2022 jest określenie polityki gospodarki odpadami zgodnej z hierarchią sposobów postępowania z odpadami oraz zasadą zanieczyszczający płaci. Celami wskazanymi w Kpgo2022 są między innymi:  </w:t>
      </w:r>
    </w:p>
    <w:p>
      <w:pPr>
        <w:pStyle w:val="Normal"/>
        <w:numPr>
          <w:ilvl w:val="0"/>
          <w:numId w:val="3"/>
        </w:numPr>
        <w:ind w:left="709" w:hanging="312"/>
        <w:rPr>
          <w:color w:val="00000A"/>
          <w:szCs w:val="24"/>
        </w:rPr>
      </w:pPr>
      <w:r>
        <w:rPr>
          <w:color w:val="00000A"/>
          <w:szCs w:val="24"/>
        </w:rPr>
        <w:t xml:space="preserve">zapobieganie powstawaniu odpadów, </w:t>
      </w:r>
    </w:p>
    <w:p>
      <w:pPr>
        <w:pStyle w:val="Normal"/>
        <w:numPr>
          <w:ilvl w:val="0"/>
          <w:numId w:val="3"/>
        </w:numPr>
        <w:ind w:left="709" w:hanging="312"/>
        <w:rPr>
          <w:color w:val="00000A"/>
          <w:szCs w:val="24"/>
        </w:rPr>
      </w:pPr>
      <w:r>
        <w:rPr>
          <w:color w:val="00000A"/>
          <w:szCs w:val="24"/>
        </w:rPr>
        <w:t xml:space="preserve">zmniejszenie ilości odpadów komunalnych ulegających biodegradacji kierowanych na składowiska odpadów, aby w 2020 r. nie było składowanych więcej niż 35% masy tych odpadów wytworzonych w 1995 r.,  </w:t>
      </w:r>
    </w:p>
    <w:p>
      <w:pPr>
        <w:pStyle w:val="Normal"/>
        <w:numPr>
          <w:ilvl w:val="0"/>
          <w:numId w:val="3"/>
        </w:numPr>
        <w:ind w:left="709" w:hanging="312"/>
        <w:rPr>
          <w:color w:val="00000A"/>
          <w:szCs w:val="24"/>
        </w:rPr>
      </w:pPr>
      <w:r>
        <w:rPr>
          <w:color w:val="00000A"/>
          <w:szCs w:val="24"/>
        </w:rPr>
        <w:t xml:space="preserve">dążenie do zmniejszania ilości składowanych odpadów, </w:t>
      </w:r>
    </w:p>
    <w:p>
      <w:pPr>
        <w:pStyle w:val="Normal"/>
        <w:numPr>
          <w:ilvl w:val="0"/>
          <w:numId w:val="3"/>
        </w:numPr>
        <w:ind w:left="709" w:hanging="312"/>
        <w:rPr>
          <w:color w:val="00000A"/>
          <w:szCs w:val="24"/>
        </w:rPr>
      </w:pPr>
      <w:r>
        <w:rPr>
          <w:color w:val="00000A"/>
          <w:szCs w:val="24"/>
        </w:rPr>
        <w:t xml:space="preserve">osiągnięcie wymaganego poziomu recyklingu i przygotowania do ponownego użycia papieru, metali, tworzyw sztucznych i szkła pochodzących ze strumienia odpadów komunalnych,  </w:t>
      </w:r>
    </w:p>
    <w:p>
      <w:pPr>
        <w:pStyle w:val="Normal"/>
        <w:numPr>
          <w:ilvl w:val="0"/>
          <w:numId w:val="3"/>
        </w:numPr>
        <w:ind w:left="709" w:hanging="312"/>
        <w:rPr>
          <w:color w:val="00000A"/>
          <w:szCs w:val="24"/>
        </w:rPr>
      </w:pPr>
      <w:r>
        <w:rPr>
          <w:color w:val="00000A"/>
          <w:szCs w:val="24"/>
        </w:rPr>
        <w:t xml:space="preserve">zapewnienie osiągnięcia odpowiedniego poziomu zbierania zużytego sprzętu oraz zużytych baterii i akumulatorów,  </w:t>
      </w:r>
    </w:p>
    <w:p>
      <w:pPr>
        <w:pStyle w:val="Normal"/>
        <w:numPr>
          <w:ilvl w:val="0"/>
          <w:numId w:val="3"/>
        </w:numPr>
        <w:ind w:left="709" w:hanging="312"/>
        <w:rPr>
          <w:color w:val="00000A"/>
          <w:szCs w:val="24"/>
        </w:rPr>
      </w:pPr>
      <w:r>
        <w:rPr>
          <w:color w:val="00000A"/>
          <w:szCs w:val="24"/>
        </w:rPr>
        <w:t xml:space="preserve">osiągnięcie odpowiedniego poziomu odzysku i recyklingu odpadów poużytkowych, między innymi odpadów opakowaniowych, zużytych opon, olejów odpadowych,  </w:t>
      </w:r>
    </w:p>
    <w:p>
      <w:pPr>
        <w:pStyle w:val="Normal"/>
        <w:numPr>
          <w:ilvl w:val="0"/>
          <w:numId w:val="3"/>
        </w:numPr>
        <w:ind w:left="709" w:hanging="312"/>
        <w:rPr>
          <w:color w:val="00000A"/>
          <w:szCs w:val="24"/>
        </w:rPr>
      </w:pPr>
      <w:r>
        <w:rPr>
          <w:color w:val="00000A"/>
          <w:szCs w:val="24"/>
        </w:rPr>
        <w:t xml:space="preserve">dokończenie likwidacji mogilników, zawierających przeterminowane środki ochrony roślin i inne odpady niebezpieczne,  </w:t>
      </w:r>
    </w:p>
    <w:p>
      <w:pPr>
        <w:pStyle w:val="Normal"/>
        <w:numPr>
          <w:ilvl w:val="0"/>
          <w:numId w:val="3"/>
        </w:numPr>
        <w:ind w:left="709" w:hanging="312"/>
        <w:rPr>
          <w:color w:val="00000A"/>
          <w:szCs w:val="24"/>
        </w:rPr>
      </w:pPr>
      <w:r>
        <w:rPr>
          <w:color w:val="00000A"/>
          <w:szCs w:val="24"/>
        </w:rPr>
        <w:t xml:space="preserve">zwiększenie udziału odpadów poddawanych procesom odzysku. </w:t>
      </w:r>
    </w:p>
    <w:p>
      <w:pPr>
        <w:pStyle w:val="Normal"/>
        <w:rPr/>
      </w:pPr>
      <w:r>
        <w:rPr/>
        <w:t xml:space="preserve">Dla osiągnięcia założonych celów w Kpgo2022 określone zostały kierunki działań dotyczące między innymi edukacji ekologicznej, rozwoju selektywnego zbierania odpadów, a także zostały wskazane działania takie jak np. prowadzenie kontroli przez inspekcję ochrony środowiska, prowadzenie kampanii informacyjno – edukacyjnych mających na celu podniesienie świadomości ekologicznej w zakresie gospodarki odpadami, wspieranie budowy sieci napraw i ponownego użycia produktów.  </w:t>
      </w:r>
    </w:p>
    <w:p>
      <w:pPr>
        <w:pStyle w:val="Normal"/>
        <w:rPr/>
      </w:pPr>
      <w:r>
        <w:rPr/>
        <w:t xml:space="preserve">Kpgo2022 jest dokumentem planistycznym wyznaczającym kierunki działań, wymagające dalszego doprecyzowania w planach wojewódzkich. W aktualizowanych Wpgo, wraz z planami inwestycyjnymi, należy określić szczegółowe działania zmierzające do realizacji celów w zakresie gospodarki odpadami. </w:t>
      </w:r>
    </w:p>
    <w:p>
      <w:pPr>
        <w:pStyle w:val="Normal"/>
        <w:rPr/>
      </w:pPr>
      <w:r>
        <w:rPr/>
        <w:t>Planowane przedsięwzięcie ma na celu odzysk energii z części odpadów, które nie mogą zostać poddane procesom recyklingu i innym procesom odzysku. Działanie to wpisuje się w ogólne ramy nakreślone w Kpgo2022. Jest także zgodne z celami Strategii Bezpieczeństwo Energetyczne i Środowisko (poprzez lokalną dywersyfikację produkcji energii, zwiększenie samowystarczalności, poprawę jakości środowiska).</w:t>
      </w:r>
    </w:p>
    <w:p>
      <w:pPr>
        <w:pStyle w:val="Normal"/>
        <w:rPr/>
      </w:pPr>
      <w:r>
        <w:rPr/>
      </w:r>
    </w:p>
    <w:p>
      <w:pPr>
        <w:pStyle w:val="Nagwek4"/>
        <w:numPr>
          <w:ilvl w:val="3"/>
          <w:numId w:val="2"/>
        </w:numPr>
        <w:ind w:hanging="992"/>
        <w:rPr/>
      </w:pPr>
      <w:r>
        <w:rPr/>
        <w:t xml:space="preserve"> </w:t>
      </w:r>
      <w:r>
        <w:rPr/>
        <w:t xml:space="preserve">Wojewódzki plan gospodarki odpadami </w:t>
      </w:r>
    </w:p>
    <w:p>
      <w:pPr>
        <w:pStyle w:val="Normal"/>
        <w:rPr/>
      </w:pPr>
      <w:r>
        <w:rPr/>
        <w:t xml:space="preserve">Zgodnie z zapisami Kpgo2022, Sejmik Województwa Śląskiego, Uchwałą Nr V/37/7/2017 z dnia 24 kwietnia 2017 r. uchwalił </w:t>
      </w:r>
      <w:r>
        <w:rPr>
          <w:i/>
        </w:rPr>
        <w:t xml:space="preserve">Plan gospodarki odpadami dla województwa śląskiego na lata 2016-2022 </w:t>
      </w:r>
      <w:r>
        <w:rPr/>
        <w:t>(zwanym dalej Pgowś2022).</w:t>
      </w:r>
    </w:p>
    <w:p>
      <w:pPr>
        <w:pStyle w:val="Normal"/>
        <w:rPr/>
      </w:pPr>
      <w:r>
        <w:rPr/>
        <w:t xml:space="preserve">Plan gospodarki odpadami dla województwa Śląskiego w kompleksowy sposób opisuje </w:t>
        <w:br/>
        <w:t>i analizuje system gospodarowania odpadami na terenie województwa, w tym:</w:t>
      </w:r>
    </w:p>
    <w:p>
      <w:pPr>
        <w:pStyle w:val="Normal"/>
        <w:numPr>
          <w:ilvl w:val="0"/>
          <w:numId w:val="3"/>
        </w:numPr>
        <w:ind w:left="709" w:hanging="312"/>
        <w:rPr>
          <w:color w:val="00000A"/>
          <w:szCs w:val="24"/>
        </w:rPr>
      </w:pPr>
      <w:r>
        <w:rPr>
          <w:color w:val="00000A"/>
          <w:szCs w:val="24"/>
        </w:rPr>
        <w:t xml:space="preserve">dokonuje analizy stanu gospodarki odpadami, </w:t>
      </w:r>
    </w:p>
    <w:p>
      <w:pPr>
        <w:pStyle w:val="Normal"/>
        <w:numPr>
          <w:ilvl w:val="0"/>
          <w:numId w:val="3"/>
        </w:numPr>
        <w:ind w:left="709" w:hanging="312"/>
        <w:rPr>
          <w:color w:val="00000A"/>
          <w:szCs w:val="24"/>
        </w:rPr>
      </w:pPr>
      <w:r>
        <w:rPr>
          <w:color w:val="00000A"/>
          <w:szCs w:val="24"/>
        </w:rPr>
        <w:t xml:space="preserve">identyfikuje problemy dotyczące gospodarowania odpadami komunalnymi, odpadami </w:t>
        <w:br/>
        <w:t>z sektora gospodarczego oraz odpadami niebezpiecznymi</w:t>
      </w:r>
    </w:p>
    <w:p>
      <w:pPr>
        <w:pStyle w:val="Normal"/>
        <w:numPr>
          <w:ilvl w:val="0"/>
          <w:numId w:val="3"/>
        </w:numPr>
        <w:ind w:left="709" w:hanging="312"/>
        <w:rPr>
          <w:color w:val="00000A"/>
          <w:szCs w:val="24"/>
        </w:rPr>
      </w:pPr>
      <w:r>
        <w:rPr>
          <w:color w:val="00000A"/>
          <w:szCs w:val="24"/>
        </w:rPr>
        <w:t>prognozuje zmiany w zakresie gospodarki odpadami z poszczególnych strumieni,</w:t>
      </w:r>
    </w:p>
    <w:p>
      <w:pPr>
        <w:pStyle w:val="Normal"/>
        <w:numPr>
          <w:ilvl w:val="0"/>
          <w:numId w:val="3"/>
        </w:numPr>
        <w:ind w:left="709" w:hanging="312"/>
        <w:rPr>
          <w:color w:val="00000A"/>
          <w:szCs w:val="24"/>
        </w:rPr>
      </w:pPr>
      <w:r>
        <w:rPr>
          <w:color w:val="00000A"/>
          <w:szCs w:val="24"/>
        </w:rPr>
        <w:t>definiuje cele w gospodarce odpadami na terenie województwa,</w:t>
      </w:r>
    </w:p>
    <w:p>
      <w:pPr>
        <w:pStyle w:val="Normal"/>
        <w:numPr>
          <w:ilvl w:val="0"/>
          <w:numId w:val="3"/>
        </w:numPr>
        <w:ind w:left="709" w:hanging="312"/>
        <w:rPr>
          <w:color w:val="00000A"/>
          <w:szCs w:val="24"/>
        </w:rPr>
      </w:pPr>
      <w:r>
        <w:rPr>
          <w:color w:val="00000A"/>
          <w:szCs w:val="24"/>
        </w:rPr>
        <w:t>opisuje kierunki działań w zakresie zapobiegania powstawaniu odpadów oraz kształtowania systemu gospodarki odpadami,</w:t>
      </w:r>
    </w:p>
    <w:p>
      <w:pPr>
        <w:pStyle w:val="Normal"/>
        <w:numPr>
          <w:ilvl w:val="0"/>
          <w:numId w:val="3"/>
        </w:numPr>
        <w:ind w:left="709" w:hanging="312"/>
        <w:rPr>
          <w:color w:val="00000A"/>
          <w:szCs w:val="24"/>
        </w:rPr>
      </w:pPr>
      <w:r>
        <w:rPr>
          <w:color w:val="00000A"/>
          <w:szCs w:val="24"/>
        </w:rPr>
        <w:t>dokonuje analizy braków i potrzeb w zakresie gospodarowania odpadami komunalnymi,</w:t>
      </w:r>
    </w:p>
    <w:p>
      <w:pPr>
        <w:pStyle w:val="Normal"/>
        <w:numPr>
          <w:ilvl w:val="0"/>
          <w:numId w:val="3"/>
        </w:numPr>
        <w:ind w:left="709" w:hanging="312"/>
        <w:rPr>
          <w:color w:val="00000A"/>
          <w:szCs w:val="24"/>
        </w:rPr>
      </w:pPr>
      <w:r>
        <w:rPr>
          <w:color w:val="00000A"/>
          <w:szCs w:val="24"/>
        </w:rPr>
        <w:t>określa harmonogram i sposób finansowania realizacji zadań.</w:t>
      </w:r>
    </w:p>
    <w:p>
      <w:pPr>
        <w:pStyle w:val="Normal"/>
        <w:rPr/>
      </w:pPr>
      <w:r>
        <w:rPr/>
        <w:t xml:space="preserve">Zgodnie z planem, docelowo gospodarka odpadami komunalnymi na obszarze objętym Pgowś2022 będzie oparta na trzech głównych obszarach: </w:t>
      </w:r>
    </w:p>
    <w:p>
      <w:pPr>
        <w:pStyle w:val="Normal"/>
        <w:numPr>
          <w:ilvl w:val="0"/>
          <w:numId w:val="3"/>
        </w:numPr>
        <w:ind w:left="709" w:hanging="312"/>
        <w:rPr>
          <w:color w:val="00000A"/>
          <w:szCs w:val="24"/>
        </w:rPr>
      </w:pPr>
      <w:r>
        <w:rPr>
          <w:color w:val="00000A"/>
          <w:szCs w:val="24"/>
        </w:rPr>
        <w:t xml:space="preserve">selektywnym zbieraniu odpadów surowcowych do recyklingu materiałowego, </w:t>
      </w:r>
    </w:p>
    <w:p>
      <w:pPr>
        <w:pStyle w:val="Normal"/>
        <w:numPr>
          <w:ilvl w:val="0"/>
          <w:numId w:val="3"/>
        </w:numPr>
        <w:ind w:left="709" w:hanging="312"/>
        <w:rPr>
          <w:color w:val="00000A"/>
          <w:szCs w:val="24"/>
        </w:rPr>
      </w:pPr>
      <w:r>
        <w:rPr>
          <w:color w:val="00000A"/>
          <w:szCs w:val="24"/>
        </w:rPr>
        <w:t xml:space="preserve">selektywnym zbieraniu bioodpadów do recyklingu organicznego oraz </w:t>
      </w:r>
    </w:p>
    <w:p>
      <w:pPr>
        <w:pStyle w:val="Normal"/>
        <w:numPr>
          <w:ilvl w:val="0"/>
          <w:numId w:val="3"/>
        </w:numPr>
        <w:ind w:left="709" w:hanging="312"/>
        <w:rPr/>
      </w:pPr>
      <w:r>
        <w:rPr>
          <w:color w:val="00000A"/>
          <w:szCs w:val="24"/>
        </w:rPr>
        <w:t xml:space="preserve">termicznym przekształcaniu odpadów pozostałych (tzw. odpadów resztkowych) w celu </w:t>
      </w:r>
      <w:r>
        <w:rPr/>
        <w:t>odzysku energii w regionalnych/ponadregionalnych instalacjach termicznego przetwarzania odpadów (ITPOK) oraz w instalacjach współspalania.</w:t>
      </w:r>
    </w:p>
    <w:p>
      <w:pPr>
        <w:pStyle w:val="Normal"/>
        <w:rPr/>
      </w:pPr>
      <w:r>
        <w:rPr/>
        <w:t xml:space="preserve">W obszarze działań wspomagających prawidłowe postępowanie z odpadami w zakresie zbierania, transportu, odzysku i unieszkodliwiania, w zakresie innych metod odzysku </w:t>
        <w:br/>
        <w:t xml:space="preserve">i unieszkodliwiania odpadów komunalnych przyjęto między innymi następujące kierunki działań: </w:t>
      </w:r>
    </w:p>
    <w:p>
      <w:pPr>
        <w:pStyle w:val="Normal"/>
        <w:numPr>
          <w:ilvl w:val="0"/>
          <w:numId w:val="15"/>
        </w:numPr>
        <w:shd w:val="clear" w:color="auto" w:fill="FFFFFF"/>
        <w:rPr>
          <w:rFonts w:ascii="Open Sans" w:hAnsi="Open Sans"/>
          <w:color w:val="00000A"/>
        </w:rPr>
      </w:pPr>
      <w:r>
        <w:rPr>
          <w:rFonts w:ascii="Open Sans" w:hAnsi="Open Sans"/>
          <w:color w:val="00000A"/>
        </w:rPr>
        <w:t xml:space="preserve">Maksymalizacja poziomów odzysku, co wymaga realizacji następujących kierunków działań: </w:t>
      </w:r>
    </w:p>
    <w:p>
      <w:pPr>
        <w:pStyle w:val="Normal"/>
        <w:numPr>
          <w:ilvl w:val="0"/>
          <w:numId w:val="16"/>
        </w:numPr>
        <w:rPr/>
      </w:pPr>
      <w:r>
        <w:rPr/>
        <w:t xml:space="preserve">wydawania decyzji związanych z realizacją celów spełniających założenia planów gospodarki odpadami oraz ich egzekwowanie,  </w:t>
      </w:r>
    </w:p>
    <w:p>
      <w:pPr>
        <w:pStyle w:val="Normal"/>
        <w:numPr>
          <w:ilvl w:val="0"/>
          <w:numId w:val="16"/>
        </w:numPr>
        <w:rPr/>
      </w:pPr>
      <w:r>
        <w:rPr/>
        <w:t xml:space="preserve">informacja i promocja w zakresie planowanych inwestycji strategicznych zgodnie </w:t>
        <w:br/>
        <w:t xml:space="preserve">z planami gospodarki odpadami,  </w:t>
      </w:r>
    </w:p>
    <w:p>
      <w:pPr>
        <w:pStyle w:val="Normal"/>
        <w:numPr>
          <w:ilvl w:val="0"/>
          <w:numId w:val="16"/>
        </w:numPr>
        <w:rPr/>
      </w:pPr>
      <w:r>
        <w:rPr/>
        <w:t xml:space="preserve">wspierania i propagowania badań nad technologiami odzysku odpadów. </w:t>
      </w:r>
    </w:p>
    <w:p>
      <w:pPr>
        <w:pStyle w:val="Normal"/>
        <w:numPr>
          <w:ilvl w:val="0"/>
          <w:numId w:val="15"/>
        </w:numPr>
        <w:shd w:val="clear" w:color="auto" w:fill="FFFFFF"/>
        <w:rPr>
          <w:rFonts w:ascii="Open Sans" w:hAnsi="Open Sans"/>
          <w:color w:val="00000A"/>
        </w:rPr>
      </w:pPr>
      <w:r>
        <w:rPr>
          <w:rFonts w:ascii="Open Sans" w:hAnsi="Open Sans"/>
          <w:color w:val="00000A"/>
        </w:rPr>
        <w:t xml:space="preserve">Ograniczenie składowania odpadów ulegających biodegradacji, co wpływa na konieczność: </w:t>
      </w:r>
    </w:p>
    <w:p>
      <w:pPr>
        <w:pStyle w:val="Normal"/>
        <w:numPr>
          <w:ilvl w:val="0"/>
          <w:numId w:val="17"/>
        </w:numPr>
        <w:rPr/>
      </w:pPr>
      <w:r>
        <w:rPr/>
        <w:t xml:space="preserve">tworzenia zachęt w zakresie zagospodarowywania odpadów zielonych i innych bioodpadów w przydomowych kompostownikach i do skarmiania zwierząt (finansowanie lub współfinansowanie zakupu przydomowych kompostowników),  </w:t>
      </w:r>
    </w:p>
    <w:p>
      <w:pPr>
        <w:pStyle w:val="Normal"/>
        <w:numPr>
          <w:ilvl w:val="0"/>
          <w:numId w:val="17"/>
        </w:numPr>
        <w:rPr/>
      </w:pPr>
      <w:r>
        <w:rPr/>
        <w:t xml:space="preserve">budowy lub modernizacji linii technologicznych do ich przetwarzania, a mianowicie: </w:t>
      </w:r>
    </w:p>
    <w:p>
      <w:pPr>
        <w:pStyle w:val="Normal"/>
        <w:numPr>
          <w:ilvl w:val="0"/>
          <w:numId w:val="19"/>
        </w:numPr>
        <w:rPr/>
      </w:pPr>
      <w:r>
        <w:rPr/>
        <w:t xml:space="preserve">kompostowni odpadów organicznych,  </w:t>
      </w:r>
    </w:p>
    <w:p>
      <w:pPr>
        <w:pStyle w:val="Normal"/>
        <w:numPr>
          <w:ilvl w:val="0"/>
          <w:numId w:val="19"/>
        </w:numPr>
        <w:rPr/>
      </w:pPr>
      <w:r>
        <w:rPr/>
        <w:t xml:space="preserve">instalacji fermentacji odpadów organicznych,  </w:t>
      </w:r>
    </w:p>
    <w:p>
      <w:pPr>
        <w:pStyle w:val="Normal"/>
        <w:numPr>
          <w:ilvl w:val="0"/>
          <w:numId w:val="19"/>
        </w:numPr>
        <w:rPr/>
      </w:pPr>
      <w:r>
        <w:rPr/>
        <w:t xml:space="preserve">ITPOK z komponentem przekształcania odpadów pochodzących z przetworzenia odpadów komunalnych oraz RDF, z odzyskiem energii, przy uwzględnieniu wymaganych poziomów przygotowania do ponownego użycia i recyklingu.  </w:t>
      </w:r>
    </w:p>
    <w:p>
      <w:pPr>
        <w:pStyle w:val="Normal"/>
        <w:numPr>
          <w:ilvl w:val="0"/>
          <w:numId w:val="15"/>
        </w:numPr>
        <w:shd w:val="clear" w:color="auto" w:fill="FFFFFF"/>
        <w:rPr/>
      </w:pPr>
      <w:r>
        <w:rPr>
          <w:rFonts w:ascii="Open Sans" w:hAnsi="Open Sans"/>
          <w:color w:val="00000A"/>
        </w:rPr>
        <w:t xml:space="preserve">Wdrożenie zrównoważonego systemu zastosowania termicznych metod przekształcania </w:t>
      </w:r>
      <w:r>
        <w:rPr/>
        <w:t xml:space="preserve">odpadów komunalnych z odzyskiem energii:  </w:t>
      </w:r>
    </w:p>
    <w:p>
      <w:pPr>
        <w:pStyle w:val="Normal"/>
        <w:numPr>
          <w:ilvl w:val="0"/>
          <w:numId w:val="18"/>
        </w:numPr>
        <w:rPr/>
      </w:pPr>
      <w:r>
        <w:rPr/>
        <w:t xml:space="preserve">ograniczenie aktualnych zamierzeń w zakresie budowy ITPOK; rozwijanie termicznych metod przekształcania odpadów komunalnych powinno następować w sposób niestanowiący zagrożenia dla ustalonych poziomów przygotowania do ponownego użycia i recyklingu, </w:t>
      </w:r>
    </w:p>
    <w:p>
      <w:pPr>
        <w:pStyle w:val="Normal"/>
        <w:numPr>
          <w:ilvl w:val="0"/>
          <w:numId w:val="18"/>
        </w:numPr>
        <w:rPr/>
      </w:pPr>
      <w:r>
        <w:rPr/>
        <w:t xml:space="preserve">koordynacja działań na poziomie obszaru objętego Pgowś2022 w zakresie planów rozwoju infrastruktury służącej przetwarzaniu odpadów komunalnych, w szczególności dla ITPOK oraz ich późniejsza realizacja; ustalenia działań koordynacyjnych powinny w szczególności uwzględniać szacowaną dostępność odpadów komunalnych, przy czym zasadne jest, aby w obszarze objętym Pgowś2022 podjęto ustalenia dotyczące możliwości włączenia cementowni w system przetwarzania odpadów pochodzących z odpadów komunalnych, </w:t>
      </w:r>
    </w:p>
    <w:p>
      <w:pPr>
        <w:pStyle w:val="Normal"/>
        <w:numPr>
          <w:ilvl w:val="0"/>
          <w:numId w:val="18"/>
        </w:numPr>
        <w:rPr/>
      </w:pPr>
      <w:r>
        <w:rPr/>
        <w:t xml:space="preserve">uniemożliwienie finansowania ze środków publicznych, to jest ze środków funduszy ochrony środowiska, funduszy UE, jak i budżetu państwa oraz jednostek samorządu terytorialnego, ITPOK, jeżeli udział w województwie lub kraju masy termiczne przekształconych odpadów komunalnych oraz odpadów pochodzących z przetworzenia odpadów komunalnych w stosunku do wytworzonych odpadów komunalnych przekroczy 30%, </w:t>
      </w:r>
    </w:p>
    <w:p>
      <w:pPr>
        <w:pStyle w:val="Normal"/>
        <w:numPr>
          <w:ilvl w:val="0"/>
          <w:numId w:val="18"/>
        </w:numPr>
        <w:rPr/>
      </w:pPr>
      <w:r>
        <w:rPr/>
        <w:t xml:space="preserve">moc przerobowa wszystkich instalacji do termicznego przekształcania odpadów komunalnych oraz odpadów pochodzących z przetworzenia odpadów komunalnych na obszarze objętym Pgowś2022 nie powinna przekroczyć 30% ilości wytwarzanych odpadów komunalnych na obszarze objętym Pgowś2022; w przeciwnym wypadku zagrożone może być uzyskanie wymaganych poziomów odzysku i recyklingu, </w:t>
      </w:r>
    </w:p>
    <w:p>
      <w:pPr>
        <w:pStyle w:val="Normal"/>
        <w:numPr>
          <w:ilvl w:val="0"/>
          <w:numId w:val="18"/>
        </w:numPr>
        <w:rPr/>
      </w:pPr>
      <w:r>
        <w:rPr/>
        <w:t>po dokonaniu analizy strumienia odpadów komunalnych i wydzieleniu frakcji przeznaczonej do recyklingu dążyć do wykorzystania potencjału energetycznego frakcji powstałej z funkcjonowania instalacji do MBP w instalacjach posiadających stosowne zezwolenia, w stopniu niestanowiącym zagrożenia dla ustalonych poziomów przygotowania do ponownego użycia i recyklingu.</w:t>
      </w:r>
    </w:p>
    <w:p>
      <w:pPr>
        <w:pStyle w:val="Normal"/>
        <w:rPr/>
      </w:pPr>
      <w:r>
        <w:rPr/>
        <w:t>Powyższe działania opisują w pgowś22 gospodarowanie odpadami pochodzącymi ze strumienia odpadów komunalnych o kodzie 20 oraz odpadów pochodzących z przetwarzania odpadów komunalnych o kodzie 19 12 12, wskazując jedynie na możliwość termicznego przekształcania tych odpadów w ITOPK lub współspalarniach odpadów.</w:t>
      </w:r>
    </w:p>
    <w:p>
      <w:pPr>
        <w:pStyle w:val="Normal"/>
        <w:rPr/>
      </w:pPr>
      <w:r>
        <w:rPr/>
        <w:t>W analizowanym przypadku nie mamy do czynienia z ITPOK, wymagającą wpisania do pgwoś22 a ze współspalarnią odpadów, gdzie przewiduje się produkcję energii cieplnej z biomasy oraz z paliwa alternatywnego. Wytwarzanie RDF związane jest z eksploatacją przez Spółkę Beskid Żywiec Sp. z o.o. regionalnej instalacji do przetwarzania odpadów komunalnych. Paliwo produkowane jest także przez inne instalacje na terenie województwa śląskiego. Co do zasady, paliwo alternatywne jest to taki rodzaj odpadu, który powstaje z przetworzenia i odpowiedniego przygotowania wysegregowanej frakcji palnej powstającej w procesie selekcji zmieszanych odpadów komunalnych i innych selektywnie zebranych odpadów palnych. Oznacza to, że zapisy planu dotyczące ITPOK nie mają bezpośredniego zastosowania w odniesieniu do planowanego przedsięwzięcia.</w:t>
      </w:r>
    </w:p>
    <w:p>
      <w:pPr>
        <w:pStyle w:val="Normal"/>
        <w:rPr/>
      </w:pPr>
      <w:r>
        <w:rPr/>
        <w:t>Potwierdzają to także zapisy art. 38a Ustawy o odpadach, które wyraźnie wskazują rodzaj instalacji jakie muszą być objęte w wojewódzkich planach gospodarki odpadami i dla których organ może odmówić wydania pozwolenia zintegrowanego lub pozwolenia na przetwarzanie odpadów.</w:t>
      </w:r>
    </w:p>
    <w:p>
      <w:pPr>
        <w:pStyle w:val="Normal"/>
        <w:rPr/>
      </w:pPr>
      <w:r>
        <w:rPr/>
        <w:t>Jako możliwy wariant w docelowym gospodarowaniu odpadami komunalnymi przyjęto hipotetycznie (zgodnie z zapisami Kpgo2022), że pozostała masa odpadów, po zapewnieniu osiągnięcia wymaganego 65% poziomu recyklingu w 2030 r. – będzie skierowana do termicznego przekształcania.</w:t>
      </w:r>
    </w:p>
    <w:p>
      <w:pPr>
        <w:pStyle w:val="Normal"/>
        <w:rPr/>
      </w:pPr>
      <w:r>
        <w:rPr/>
        <w:t xml:space="preserve">Przy założeniu opcji zagospodarowania termicznego odpadów jako pozostałości po mechanicznej części MBP – strumień ten oszacowano w skali województwa Śląskiego na poziomie około 309 tys. Mg w 2028 r. i ok. 298 tys. Mg w 2030 r. Strumień ten obejmuje odpady balastowe po mechanicznym przetworzeniu w MBP oraz odpady powstałe po sortowaniu (podczyszczeniu) odpadów z selektywnego zbierania. Co do zasady będą to odpady stanowiące podstawową, lecz nie jedyną część wsadu paliwa, które planowane jest do termicznego przekształcania w instalacji. </w:t>
      </w:r>
    </w:p>
    <w:p>
      <w:pPr>
        <w:pStyle w:val="Normal"/>
        <w:rPr/>
      </w:pPr>
      <w:r>
        <w:rPr/>
        <w:t>Dalej Pgwoś2022 stwierdza, że „w woj. śląskim możliwość przyjęcia tych odpadów do termicznego przekształcania – jak się planuje – nastąpić może w przedziale czasowym 2016-2020. Skierowanie odpadów do termicznego przekształcania pozwoliłoby z jednej strony wywiązać się z wymogu wyeliminowania ze składowania odpadów o cieple spalania powyżej 6 MJ/kg, jak również wydłużyć okres eksploatacji składowisk odpadów innych niż niebezpieczne i obojętne.”</w:t>
      </w:r>
    </w:p>
    <w:p>
      <w:pPr>
        <w:pStyle w:val="Normal"/>
        <w:rPr/>
      </w:pPr>
      <w:r>
        <w:rPr/>
        <w:t xml:space="preserve">W uzupełnieniu powyższych informacji, na podstawie Pgwoś2022, na terenie Regionu III gospodarki odpadami, w obrębie którego planuje się budowę zakładu, w 2016 r. moc przerobowa odrębnych (nie będących częścią RIPOK-MBP lub instalacji do doczyszczania selektywnie zebranych frakcji odpadów komunalnych) instalacji do produkcji paliw alternatywnych wynosiła 28400 Mg/rok, natomiast moc przerobowa instalacji do doczyszczania selektywnie zebranych frakcji odpadów komunalnych wynosiła łącznie 273020 Mg/rok. </w:t>
      </w:r>
    </w:p>
    <w:p>
      <w:pPr>
        <w:pStyle w:val="Normal"/>
        <w:rPr/>
      </w:pPr>
      <w:r>
        <w:rPr/>
        <w:t>Biorąc pod uwagę stan zaawansowania planowanych w Pgwoś2022 instalacji ITPOK należy stwierdzić, że jest mało prawdopodobne, aby na terenie województwa Śląskiego powstała i rozpoczęła do roku 2022 działalność wystarczająca liczba ITPOK, która mogłaby przetworzyć odpady pochodzące z przetwarzania odpadów komunalnych o kodzie 19 12 12.</w:t>
      </w:r>
    </w:p>
    <w:p>
      <w:pPr>
        <w:pStyle w:val="Normal"/>
        <w:rPr/>
      </w:pPr>
      <w:r>
        <w:rPr/>
        <w:t xml:space="preserve">Należy też stwierdzić, że każda z regionalnych instalacji przetwarzania odpadów komunalnych w istniejącym stanie prawnym ustawy o odpadach decyduje o sposobie zagospodarowania odpadów pochodzące z przetwarzania odpadów komunalnych o kodzie </w:t>
        <w:br/>
        <w:t>19 12 12, ale produkcja z tych odpadów paliwa alternatywnego jest uzależniona od możliwości jego dostawy do instalacji przystosowanej do jego spalania, których w województwie Śląskim brakuje w stosunku do ilości odpadów palnych.</w:t>
      </w:r>
    </w:p>
    <w:p>
      <w:pPr>
        <w:pStyle w:val="Normal"/>
        <w:rPr/>
      </w:pPr>
      <w:r>
        <w:rPr/>
        <w:t>W powyższych rozważaniach kluczowe znaczenie ma stwierdzenie technicznych i prawnych możliwości oraz faktycznych potrzeb w zakresie rozwoju nowoczesnych instalacji do termicznego przekształcania odpadów pochodzących wysegregowanych odpadów palnych, które powstają ze strumienia zmieszanych odpadów komunalnych. W analizowanym przypadku mamy do czynienia z instalacją produkującą energię cieplną z paliwa alternatywnego RDF i biomasy, nie zaś odpadów powstałych w wyniku segregacji zmieszanych odpadów komunalnych. W ocenie autorów raportu, na obecnym etapie planowane przedsięwzięcie, jak i wszystkie inne przedsięwzięcia w których planowane jest  spalanie paliw alternatywnych lub ich współspalanie z biomasą w oczywisty sposób wpisuje się pozytywnie w założenia Pgwoś2022.</w:t>
      </w:r>
    </w:p>
    <w:p>
      <w:pPr>
        <w:pStyle w:val="Normal"/>
        <w:spacing w:lineRule="auto" w:line="360"/>
        <w:rPr/>
      </w:pPr>
      <w:r>
        <w:rPr/>
      </w:r>
    </w:p>
    <w:p>
      <w:pPr>
        <w:pStyle w:val="Nagwek2"/>
        <w:numPr>
          <w:ilvl w:val="1"/>
          <w:numId w:val="2"/>
        </w:numPr>
        <w:ind w:hanging="578"/>
        <w:rPr/>
      </w:pPr>
      <w:bookmarkStart w:id="9" w:name="_Toc518331272"/>
      <w:bookmarkEnd w:id="9"/>
      <w:r>
        <w:rPr/>
        <w:t>Charakterystyka przedsięwzięcia i warunki użytkowania terenu w fazie budowy i eksploatacji, w tym w odniesieniu do obszarów szczególnego zagrożenia powodzią</w:t>
      </w:r>
    </w:p>
    <w:p>
      <w:pPr>
        <w:pStyle w:val="Nagwek3"/>
        <w:numPr>
          <w:ilvl w:val="2"/>
          <w:numId w:val="2"/>
        </w:numPr>
        <w:ind w:hanging="851"/>
        <w:rPr/>
      </w:pPr>
      <w:bookmarkStart w:id="10" w:name="_Toc518331273"/>
      <w:bookmarkEnd w:id="10"/>
      <w:r>
        <w:rPr/>
        <w:t>Ogólna charakterystyka przedsięwzięcia</w:t>
      </w:r>
    </w:p>
    <w:p>
      <w:pPr>
        <w:pStyle w:val="Normal"/>
        <w:rPr/>
      </w:pPr>
      <w:r>
        <w:rPr/>
        <w:t>Planowane przedsięwzięcie polega na budowie ciepłowni na biomasę i RDF o mocy użytkowej 5MW (dwie linie technologiczne po 2,5MW każda). Instalacja ciepłowni zostanie zlokalizowana na zagospodarowanym terenie nieczynnej kotłowni przy ul. Kabaty w Żywcu.</w:t>
      </w:r>
    </w:p>
    <w:p>
      <w:pPr>
        <w:pStyle w:val="Normal"/>
        <w:rPr>
          <w:szCs w:val="24"/>
        </w:rPr>
      </w:pPr>
      <w:r>
        <w:rPr>
          <w:szCs w:val="24"/>
        </w:rPr>
        <w:t>Przedsięwzięcie będzie się wiązało z wyburzeniem istniejącego budynku kotłowni wraz z budynkiem gospodarczym, likwidacją istniejącego emitora, a następnie budową budynku ciepłowni z oddzielnymi strefami funkcjonalnymi instalacji RDF, strefy przyjęcia odpadów, magazynu zapasowego (magazyn surowców), magazynu odpadów poprodukcyjnych, magazynu oleju oraz części biurowej z zapleczem socjalnym. Planuje się częściową przebudowę istniejącego układu dróg wewnętrznych oraz zagospodarowanie powierzchni biologicznie czynnej.</w:t>
      </w:r>
    </w:p>
    <w:p>
      <w:pPr>
        <w:pStyle w:val="Normal"/>
        <w:rPr>
          <w:szCs w:val="24"/>
        </w:rPr>
      </w:pPr>
      <w:r>
        <w:rPr>
          <w:szCs w:val="24"/>
        </w:rPr>
        <w:t>Bilans powierzchni planowanego przedsięwzięcia:</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Powierzchnia zabudowy – około 1832 m</w:t>
      </w:r>
      <w:r>
        <w:rPr>
          <w:rFonts w:ascii="Times New Roman" w:hAnsi="Times New Roman"/>
          <w:sz w:val="24"/>
          <w:szCs w:val="24"/>
          <w:vertAlign w:val="superscript"/>
        </w:rPr>
        <w:t>2</w:t>
      </w:r>
      <w:r>
        <w:rPr>
          <w:rFonts w:ascii="Times New Roman" w:hAnsi="Times New Roman"/>
          <w:sz w:val="24"/>
          <w:szCs w:val="24"/>
        </w:rPr>
        <w:t>, w tym budynek ciepłowni około 770 m</w:t>
      </w:r>
      <w:r>
        <w:rPr>
          <w:rFonts w:ascii="Times New Roman" w:hAnsi="Times New Roman"/>
          <w:sz w:val="24"/>
          <w:szCs w:val="24"/>
          <w:vertAlign w:val="superscript"/>
        </w:rPr>
        <w:t>2</w:t>
      </w:r>
      <w:r>
        <w:rPr>
          <w:rFonts w:ascii="Times New Roman" w:hAnsi="Times New Roman"/>
          <w:sz w:val="24"/>
          <w:szCs w:val="24"/>
        </w:rPr>
        <w:t>, budynek magazynowy (strefa przyjęcia odpadów) około 506 m</w:t>
      </w:r>
      <w:r>
        <w:rPr>
          <w:rFonts w:ascii="Times New Roman" w:hAnsi="Times New Roman"/>
          <w:sz w:val="24"/>
          <w:szCs w:val="24"/>
          <w:vertAlign w:val="superscript"/>
        </w:rPr>
        <w:t>2</w:t>
      </w:r>
      <w:r>
        <w:rPr>
          <w:rFonts w:ascii="Times New Roman" w:hAnsi="Times New Roman"/>
          <w:sz w:val="24"/>
          <w:szCs w:val="24"/>
        </w:rPr>
        <w:t>, magazyny na odpady pyłów około 128 m</w:t>
      </w:r>
      <w:r>
        <w:rPr>
          <w:rFonts w:ascii="Times New Roman" w:hAnsi="Times New Roman"/>
          <w:sz w:val="24"/>
          <w:szCs w:val="24"/>
          <w:vertAlign w:val="superscript"/>
        </w:rPr>
        <w:t>2</w:t>
      </w:r>
      <w:r>
        <w:rPr>
          <w:rFonts w:ascii="Times New Roman" w:hAnsi="Times New Roman"/>
          <w:sz w:val="24"/>
          <w:szCs w:val="24"/>
        </w:rPr>
        <w:t>, magazyn zapasowy około 240 m</w:t>
      </w:r>
      <w:r>
        <w:rPr>
          <w:rFonts w:ascii="Times New Roman" w:hAnsi="Times New Roman"/>
          <w:sz w:val="24"/>
          <w:szCs w:val="24"/>
          <w:vertAlign w:val="superscript"/>
        </w:rPr>
        <w:t>2</w:t>
      </w:r>
      <w:r>
        <w:rPr>
          <w:rFonts w:ascii="Times New Roman" w:hAnsi="Times New Roman"/>
          <w:sz w:val="24"/>
          <w:szCs w:val="24"/>
        </w:rPr>
        <w:t>, magazyn oleju około 44 m</w:t>
      </w:r>
      <w:r>
        <w:rPr>
          <w:rFonts w:ascii="Times New Roman" w:hAnsi="Times New Roman"/>
          <w:sz w:val="24"/>
          <w:szCs w:val="24"/>
          <w:vertAlign w:val="superscript"/>
        </w:rPr>
        <w:t>2</w:t>
      </w:r>
      <w:r>
        <w:rPr>
          <w:rFonts w:ascii="Times New Roman" w:hAnsi="Times New Roman"/>
          <w:sz w:val="24"/>
          <w:szCs w:val="24"/>
        </w:rPr>
        <w:t>, zaplecze socjalno-biurowe około 44 m</w:t>
      </w:r>
      <w:r>
        <w:rPr>
          <w:rFonts w:ascii="Times New Roman" w:hAnsi="Times New Roman"/>
          <w:sz w:val="24"/>
          <w:szCs w:val="24"/>
          <w:vertAlign w:val="superscript"/>
        </w:rPr>
        <w:t>2</w:t>
      </w:r>
      <w:r>
        <w:rPr>
          <w:rFonts w:ascii="Times New Roman" w:hAnsi="Times New Roman"/>
          <w:sz w:val="24"/>
          <w:szCs w:val="24"/>
        </w:rPr>
        <w:t>, wiaty około 100 m</w:t>
      </w:r>
      <w:r>
        <w:rPr>
          <w:rFonts w:ascii="Times New Roman" w:hAnsi="Times New Roman"/>
          <w:sz w:val="24"/>
          <w:szCs w:val="24"/>
          <w:vertAlign w:val="superscript"/>
        </w:rPr>
        <w:t>2</w:t>
      </w:r>
      <w:r>
        <w:rPr>
          <w:rFonts w:ascii="Times New Roman" w:hAnsi="Times New Roman"/>
          <w:sz w:val="24"/>
          <w:szCs w:val="24"/>
        </w:rPr>
        <w:t>.</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Powierzchnia utwardzona (plac manewrowy, drogi, chodniki) – około 2204 m</w:t>
      </w:r>
      <w:r>
        <w:rPr>
          <w:rFonts w:ascii="Times New Roman" w:hAnsi="Times New Roman"/>
          <w:sz w:val="24"/>
          <w:szCs w:val="24"/>
          <w:vertAlign w:val="superscript"/>
        </w:rPr>
        <w:t>2</w:t>
      </w:r>
      <w:r>
        <w:rPr>
          <w:rFonts w:ascii="Times New Roman" w:hAnsi="Times New Roman"/>
          <w:sz w:val="24"/>
          <w:szCs w:val="24"/>
        </w:rPr>
        <w:t>,</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Powierzchnia biologicznie czynna – około 712 m</w:t>
      </w:r>
      <w:r>
        <w:rPr>
          <w:rFonts w:ascii="Times New Roman" w:hAnsi="Times New Roman"/>
          <w:sz w:val="24"/>
          <w:szCs w:val="24"/>
          <w:vertAlign w:val="superscript"/>
        </w:rPr>
        <w:t>2</w:t>
      </w:r>
      <w:r>
        <w:rPr>
          <w:rFonts w:ascii="Times New Roman" w:hAnsi="Times New Roman"/>
          <w:sz w:val="24"/>
          <w:szCs w:val="24"/>
        </w:rPr>
        <w:t xml:space="preserve"> (15% powierzchni terenu zakładu).</w:t>
      </w:r>
    </w:p>
    <w:p>
      <w:pPr>
        <w:pStyle w:val="Normal"/>
        <w:ind w:left="360" w:hanging="0"/>
        <w:rPr/>
      </w:pPr>
      <w:r>
        <w:rPr/>
        <w:t>Wysokość budynków:</w:t>
      </w:r>
    </w:p>
    <w:p>
      <w:pPr>
        <w:pStyle w:val="Normal"/>
        <w:numPr>
          <w:ilvl w:val="0"/>
          <w:numId w:val="20"/>
        </w:numPr>
        <w:rPr/>
      </w:pPr>
      <w:r>
        <w:rPr/>
        <w:t>budynek instalacji RDF – ok. 12,5 m,</w:t>
      </w:r>
    </w:p>
    <w:p>
      <w:pPr>
        <w:pStyle w:val="Normal"/>
        <w:numPr>
          <w:ilvl w:val="0"/>
          <w:numId w:val="20"/>
        </w:numPr>
        <w:rPr/>
      </w:pPr>
      <w:r>
        <w:rPr/>
        <w:t xml:space="preserve">magazyn (strefa przyjęcia odpadów) </w:t>
        <w:softHyphen/>
        <w:t>– ok. 7,0 m,</w:t>
      </w:r>
    </w:p>
    <w:p>
      <w:pPr>
        <w:pStyle w:val="Normal"/>
        <w:numPr>
          <w:ilvl w:val="0"/>
          <w:numId w:val="20"/>
        </w:numPr>
        <w:rPr>
          <w:color w:val="00000A"/>
          <w:sz w:val="22"/>
        </w:rPr>
      </w:pPr>
      <w:r>
        <w:rPr/>
        <w:t>magazyn zapasowy – ok. 9,0 m,</w:t>
      </w:r>
    </w:p>
    <w:p>
      <w:pPr>
        <w:pStyle w:val="Normal"/>
        <w:numPr>
          <w:ilvl w:val="0"/>
          <w:numId w:val="20"/>
        </w:numPr>
        <w:rPr/>
      </w:pPr>
      <w:r>
        <w:rPr/>
        <w:t>pozostałe budynki (magazyny odpadów, biuro, pomieszczenie techniczne, wiaty) – ok. 4,5 m.</w:t>
      </w:r>
    </w:p>
    <w:p>
      <w:pPr>
        <w:pStyle w:val="Normal"/>
        <w:rPr>
          <w:szCs w:val="24"/>
        </w:rPr>
      </w:pPr>
      <w:r>
        <w:rPr>
          <w:szCs w:val="24"/>
        </w:rPr>
      </w:r>
    </w:p>
    <w:p>
      <w:pPr>
        <w:pStyle w:val="Nagwek3"/>
        <w:numPr>
          <w:ilvl w:val="2"/>
          <w:numId w:val="2"/>
        </w:numPr>
        <w:ind w:hanging="851"/>
        <w:rPr/>
      </w:pPr>
      <w:bookmarkStart w:id="11" w:name="_Toc518331274"/>
      <w:r>
        <w:rPr/>
        <w:t>Lokalizacja przedsięwzięcia oraz istniejąca infrastruktura techniczna</w:t>
      </w:r>
      <w:bookmarkEnd w:id="11"/>
      <w:r>
        <w:rPr/>
        <w:t xml:space="preserve"> </w:t>
      </w:r>
    </w:p>
    <w:p>
      <w:pPr>
        <w:pStyle w:val="Normal"/>
        <w:spacing w:before="120" w:after="0"/>
        <w:rPr>
          <w:szCs w:val="24"/>
        </w:rPr>
      </w:pPr>
      <w:r>
        <w:rPr>
          <w:szCs w:val="24"/>
        </w:rPr>
        <w:t>Teren na którym planowana jest realizacja inwestycji położony jest we zachodniej części Żywca, w dzielnicy o charakterze mieszkalno-przemysłowym. Teren przewidziany pod realizację planowanego przedsięwzięcia jest całkowicie zagospodarowany przemysłowo. W bezpośrednim otoczeniu przedsięwzięcia znajdują się:</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od </w:t>
      </w:r>
      <w:r>
        <w:rPr>
          <w:rFonts w:cs="Times New Roman" w:ascii="Times New Roman" w:hAnsi="Times New Roman"/>
          <w:sz w:val="24"/>
          <w:szCs w:val="24"/>
        </w:rPr>
        <w:t>strony</w:t>
      </w:r>
      <w:r>
        <w:rPr>
          <w:rFonts w:ascii="Times New Roman" w:hAnsi="Times New Roman"/>
          <w:sz w:val="24"/>
          <w:szCs w:val="24"/>
        </w:rPr>
        <w:t xml:space="preserve"> zachodniej – plac składowy z budynkiem gospodarczym wykorzystywanym do działalności gospodarczej, a dalej zrekultywowana część składowiska odpadów,</w:t>
      </w:r>
    </w:p>
    <w:p>
      <w:pPr>
        <w:pStyle w:val="PlainText"/>
        <w:numPr>
          <w:ilvl w:val="0"/>
          <w:numId w:val="20"/>
        </w:numPr>
        <w:jc w:val="both"/>
        <w:rPr>
          <w:rFonts w:ascii="Times New Roman" w:hAnsi="Times New Roman"/>
          <w:sz w:val="24"/>
          <w:szCs w:val="24"/>
        </w:rPr>
      </w:pPr>
      <w:r>
        <w:rPr>
          <w:rFonts w:ascii="Times New Roman" w:hAnsi="Times New Roman"/>
          <w:sz w:val="24"/>
          <w:szCs w:val="24"/>
        </w:rPr>
        <w:t>od strony południowej – tereny przemysłowe firm Rondo Sp. z o.o. i Famed S.A.,</w:t>
      </w:r>
    </w:p>
    <w:p>
      <w:pPr>
        <w:pStyle w:val="PlainText"/>
        <w:numPr>
          <w:ilvl w:val="0"/>
          <w:numId w:val="20"/>
        </w:numPr>
        <w:jc w:val="both"/>
        <w:rPr>
          <w:rFonts w:ascii="Times New Roman" w:hAnsi="Times New Roman"/>
          <w:sz w:val="24"/>
          <w:szCs w:val="24"/>
        </w:rPr>
      </w:pPr>
      <w:r>
        <w:rPr>
          <w:rFonts w:ascii="Times New Roman" w:hAnsi="Times New Roman"/>
          <w:sz w:val="24"/>
          <w:szCs w:val="24"/>
        </w:rPr>
        <w:t>od strony wschodniej – tereny przemysłowe firmy Poltrans,</w:t>
      </w:r>
    </w:p>
    <w:p>
      <w:pPr>
        <w:pStyle w:val="PlainText"/>
        <w:numPr>
          <w:ilvl w:val="0"/>
          <w:numId w:val="20"/>
        </w:numPr>
        <w:jc w:val="both"/>
        <w:rPr>
          <w:rFonts w:ascii="Times New Roman" w:hAnsi="Times New Roman"/>
          <w:sz w:val="24"/>
          <w:szCs w:val="24"/>
        </w:rPr>
      </w:pPr>
      <w:r>
        <w:rPr>
          <w:rFonts w:ascii="Times New Roman" w:hAnsi="Times New Roman"/>
          <w:sz w:val="24"/>
          <w:szCs w:val="24"/>
        </w:rPr>
        <w:t>od strony północnej – pas zieleni wysokiej, za którą rozciąga się teren Spółki Beskid Żywiec Sp. z o.o. wraz z instalacją do przetwarzania odpadów i składowiskiem odpadów.</w:t>
      </w:r>
    </w:p>
    <w:p>
      <w:pPr>
        <w:pStyle w:val="Normal"/>
        <w:spacing w:before="120" w:after="0"/>
        <w:rPr>
          <w:szCs w:val="24"/>
        </w:rPr>
      </w:pPr>
      <w:r>
        <w:rPr>
          <w:szCs w:val="24"/>
        </w:rPr>
        <w:t xml:space="preserve">Najbliższa zabudowa mieszkaniowa zlokalizowana jest od planowanego zakładu </w:t>
        <w:br/>
        <w:t>w odległości około 260 m w kierunku wschodnim.</w:t>
      </w:r>
    </w:p>
    <w:p>
      <w:pPr>
        <w:pStyle w:val="Normal"/>
        <w:rPr>
          <w:szCs w:val="24"/>
        </w:rPr>
      </w:pPr>
      <w:r>
        <w:rPr>
          <w:szCs w:val="24"/>
        </w:rPr>
        <w:t>Lokalizację przedsięwzięcia w odniesieniu do istniejącej zabudowy przedstawia rysunek 1.</w:t>
      </w:r>
    </w:p>
    <w:p>
      <w:pPr>
        <w:pStyle w:val="Normal"/>
        <w:rPr/>
      </w:pPr>
      <w:r>
        <w:rPr/>
      </w:r>
    </w:p>
    <w:p>
      <w:pPr>
        <w:pStyle w:val="Nagwek4"/>
        <w:numPr>
          <w:ilvl w:val="3"/>
          <w:numId w:val="2"/>
        </w:numPr>
        <w:ind w:hanging="992"/>
        <w:rPr/>
      </w:pPr>
      <w:r>
        <w:rPr/>
        <w:t xml:space="preserve"> </w:t>
      </w:r>
      <w:r>
        <w:rPr/>
        <w:t xml:space="preserve">Stan formalno – prawny lokalizacji </w:t>
      </w:r>
    </w:p>
    <w:p>
      <w:pPr>
        <w:pStyle w:val="Normal"/>
        <w:rPr>
          <w:szCs w:val="24"/>
        </w:rPr>
      </w:pPr>
      <w:r>
        <w:rPr>
          <w:szCs w:val="24"/>
        </w:rPr>
        <w:t>Opisywana lokalizacja położona jest w obrębie geodezyjnym 0007 Żywiec, powiat żywiecki, województwo śląskie i mieści się na działce o numerze ewidencyjnym 1019/140 o powierzchni 4727 m</w:t>
      </w:r>
      <w:r>
        <w:rPr>
          <w:szCs w:val="24"/>
          <w:vertAlign w:val="superscript"/>
        </w:rPr>
        <w:t>2</w:t>
      </w:r>
      <w:r>
        <w:rPr>
          <w:szCs w:val="24"/>
        </w:rPr>
        <w:t xml:space="preserve">.  </w:t>
      </w:r>
    </w:p>
    <w:p>
      <w:pPr>
        <w:pStyle w:val="Normal"/>
        <w:rPr>
          <w:szCs w:val="24"/>
        </w:rPr>
      </w:pPr>
      <w:r>
        <w:rPr>
          <w:szCs w:val="24"/>
        </w:rPr>
        <w:t>Wymieniona działka jest własnością Skarbu Państwa. Użytkownikiem wieczystym jest osoba fizyczna.</w:t>
      </w:r>
    </w:p>
    <w:p>
      <w:pPr>
        <w:pStyle w:val="Normal"/>
        <w:rPr>
          <w:szCs w:val="24"/>
        </w:rPr>
      </w:pPr>
      <w:r>
        <w:rPr>
          <w:szCs w:val="24"/>
        </w:rPr>
      </w:r>
    </w:p>
    <w:p>
      <w:pPr>
        <w:pStyle w:val="Nagwek4"/>
        <w:numPr>
          <w:ilvl w:val="3"/>
          <w:numId w:val="2"/>
        </w:numPr>
        <w:ind w:hanging="992"/>
        <w:rPr/>
      </w:pPr>
      <w:r>
        <w:rPr/>
        <w:t xml:space="preserve">Istniejący stan zagospodarowania terenu </w:t>
      </w:r>
    </w:p>
    <w:p>
      <w:pPr>
        <w:pStyle w:val="Normal"/>
        <w:spacing w:before="120" w:after="0"/>
        <w:rPr>
          <w:szCs w:val="24"/>
        </w:rPr>
      </w:pPr>
      <w:r>
        <w:rPr>
          <w:szCs w:val="24"/>
        </w:rPr>
        <w:t xml:space="preserve">Na dzień sporządzania niniejszego raportu na terenie działki zlokalizowany jest nieużytkowany budynek kotłowni, budynek gospodarczy, emitor (stalowy komin) oraz place i drogi wewnętrzne, częściowo utwardzone. Część budynków zajmowana jest obecnie na potrzeby firm prowadzących działalność gospodarczą, w tym na cele magazynowe przez firmę Poltrans. </w:t>
      </w:r>
    </w:p>
    <w:p>
      <w:pPr>
        <w:pStyle w:val="Normal"/>
        <w:rPr>
          <w:szCs w:val="24"/>
        </w:rPr>
      </w:pPr>
      <w:r>
        <w:rPr>
          <w:szCs w:val="24"/>
        </w:rPr>
        <w:t>Wjazd na teren działki zlokalizowany jest od strony ulicy Kabaty – istniejąca brama wjazdowa stanowiła będzie główny wjazd na teren planowanego zakładu.  Część terenu zajmują drogi wewnętrzne o nawierzchni utwardzonej, betonowej i asfaltowej.</w:t>
      </w:r>
    </w:p>
    <w:p>
      <w:pPr>
        <w:pStyle w:val="Normal"/>
        <w:spacing w:lineRule="auto" w:line="360"/>
        <w:rPr>
          <w:szCs w:val="24"/>
        </w:rPr>
      </w:pPr>
      <w:r>
        <w:rPr>
          <w:szCs w:val="24"/>
        </w:rPr>
      </w:r>
    </w:p>
    <w:p>
      <w:pPr>
        <w:pStyle w:val="Normal"/>
        <w:ind w:hanging="0"/>
        <w:jc w:val="center"/>
        <w:rPr>
          <w:szCs w:val="24"/>
        </w:rPr>
      </w:pPr>
      <w:r>
        <w:rPr/>
        <w:drawing>
          <wp:inline distT="0" distB="0" distL="0" distR="0">
            <wp:extent cx="5574030" cy="4834255"/>
            <wp:effectExtent l="0" t="0" r="0" b="0"/>
            <wp:docPr id="2" name="Obraz 5" descr="Kabaty lokaliz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5" descr="Kabaty lokalizacja"/>
                    <pic:cNvPicPr>
                      <a:picLocks noChangeAspect="1" noChangeArrowheads="1"/>
                    </pic:cNvPicPr>
                  </pic:nvPicPr>
                  <pic:blipFill>
                    <a:blip r:embed="rId4"/>
                    <a:stretch>
                      <a:fillRect/>
                    </a:stretch>
                  </pic:blipFill>
                  <pic:spPr bwMode="auto">
                    <a:xfrm>
                      <a:off x="0" y="0"/>
                      <a:ext cx="5574030" cy="483425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w:t>
      </w:r>
      <w:r>
        <w:fldChar w:fldCharType="end"/>
      </w:r>
      <w:r>
        <w:rPr/>
        <w:t>.</w:t>
      </w:r>
      <w:r>
        <w:rPr>
          <w:b w:val="false"/>
        </w:rPr>
        <w:t xml:space="preserve"> Lokalizacja planowanego przedsięwzięcia na podstawie BDOT10k</w:t>
      </w:r>
    </w:p>
    <w:p>
      <w:pPr>
        <w:pStyle w:val="Normal"/>
        <w:rPr/>
      </w:pPr>
      <w:r>
        <w:rPr/>
      </w:r>
    </w:p>
    <w:p>
      <w:pPr>
        <w:pStyle w:val="Nagwek4"/>
        <w:numPr>
          <w:ilvl w:val="3"/>
          <w:numId w:val="2"/>
        </w:numPr>
        <w:ind w:hanging="992"/>
        <w:rPr/>
      </w:pPr>
      <w:r>
        <w:rPr/>
        <w:t xml:space="preserve">Infrastruktura techniczno – inżynieryjna </w:t>
      </w:r>
    </w:p>
    <w:p>
      <w:pPr>
        <w:pStyle w:val="Normal"/>
        <w:rPr>
          <w:szCs w:val="24"/>
        </w:rPr>
      </w:pPr>
      <w:r>
        <w:rPr>
          <w:szCs w:val="24"/>
        </w:rPr>
        <w:t>Planowane przedsięwzięcie zlokalizowane jest na terenie przemysłowym i uzbrojonym.</w:t>
      </w:r>
    </w:p>
    <w:p>
      <w:pPr>
        <w:pStyle w:val="Normal"/>
        <w:rPr>
          <w:szCs w:val="24"/>
        </w:rPr>
      </w:pPr>
      <w:r>
        <w:rPr>
          <w:szCs w:val="24"/>
        </w:rPr>
        <w:t>W obrębie działki znajdują się sieć energetyczna, wodociągowa i kanalizacji sanitarnej. Zaplanowane prace dodatkowe będą obejmować budowę sieci ciepłowniczej, wykonanie niezbędnych przyłączy, przebudowę części odcinków istniejących linii technicznych oraz budowę kanalizacji deszczowej i niezbędnego przyłącza do niej. Niniejszy raport nie uwzględnia kwestii związanych z budową brakujących odcinków sieci ciepłowniczej i kanalizacji deszczowej.</w:t>
      </w:r>
    </w:p>
    <w:p>
      <w:pPr>
        <w:pStyle w:val="Normal"/>
        <w:ind w:hanging="0"/>
        <w:rPr>
          <w:szCs w:val="24"/>
        </w:rPr>
      </w:pPr>
      <w:r>
        <w:rPr>
          <w:szCs w:val="24"/>
        </w:rPr>
      </w:r>
    </w:p>
    <w:p>
      <w:pPr>
        <w:pStyle w:val="Nagwek3"/>
        <w:numPr>
          <w:ilvl w:val="2"/>
          <w:numId w:val="2"/>
        </w:numPr>
        <w:ind w:hanging="851"/>
        <w:rPr>
          <w:color w:val="000000"/>
        </w:rPr>
      </w:pPr>
      <w:bookmarkStart w:id="12" w:name="_Toc518331275"/>
      <w:r>
        <w:rPr/>
        <w:t>Warunki użytkowania terenu w fazie realizacji przedsięwzięcia</w:t>
      </w:r>
      <w:bookmarkEnd w:id="12"/>
      <w:r>
        <w:rPr/>
        <w:t xml:space="preserve"> </w:t>
      </w:r>
    </w:p>
    <w:p>
      <w:pPr>
        <w:pStyle w:val="Normal"/>
        <w:rPr>
          <w:szCs w:val="24"/>
        </w:rPr>
      </w:pPr>
      <w:r>
        <w:rPr>
          <w:szCs w:val="24"/>
        </w:rPr>
        <w:t>Zgodnie z przyjętymi założeniami, przed rozpoczęciem budowy generalny wykonawca inwestycji określi zakres prac i koncepcję ich realizacji w celu osiągnięcia zleconego przez inwestora zadania, zaproponowane poniżej warunki wykorzystania terenu stanowią wstępną koncepcję, która stanowi podstawę do określenia rozwiązań szczegółowych na dalszym etapie procesu inwestycyjnego.</w:t>
      </w:r>
    </w:p>
    <w:p>
      <w:pPr>
        <w:pStyle w:val="Normal"/>
        <w:spacing w:lineRule="auto" w:line="360"/>
        <w:rPr>
          <w:szCs w:val="24"/>
        </w:rPr>
      </w:pPr>
      <w:r>
        <w:rPr>
          <w:szCs w:val="24"/>
        </w:rPr>
      </w:r>
    </w:p>
    <w:p>
      <w:pPr>
        <w:pStyle w:val="Normal"/>
        <w:ind w:hanging="0"/>
        <w:jc w:val="center"/>
        <w:rPr>
          <w:b/>
          <w:b/>
          <w:bCs/>
          <w:sz w:val="21"/>
          <w:szCs w:val="21"/>
        </w:rPr>
      </w:pPr>
      <w:r>
        <w:rPr/>
        <w:drawing>
          <wp:inline distT="0" distB="0" distL="0" distR="0">
            <wp:extent cx="5940425" cy="3972560"/>
            <wp:effectExtent l="0" t="0" r="0" b="0"/>
            <wp:docPr id="3" name="Obraz 7" descr="C:\Users\Admin\Pictures\2017\2017-11-29\Wywołane\_103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7" descr="C:\Users\Admin\Pictures\2017\2017-11-29\Wywołane\_1030401.jpg"/>
                    <pic:cNvPicPr>
                      <a:picLocks noChangeAspect="1" noChangeArrowheads="1"/>
                    </pic:cNvPicPr>
                  </pic:nvPicPr>
                  <pic:blipFill>
                    <a:blip r:embed="rId5"/>
                    <a:stretch>
                      <a:fillRect/>
                    </a:stretch>
                  </pic:blipFill>
                  <pic:spPr bwMode="auto">
                    <a:xfrm>
                      <a:off x="0" y="0"/>
                      <a:ext cx="5940425" cy="397256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w:t>
      </w:r>
      <w:r>
        <w:fldChar w:fldCharType="end"/>
      </w:r>
      <w:r>
        <w:rPr/>
        <w:t>.</w:t>
      </w:r>
      <w:r>
        <w:rPr>
          <w:b w:val="false"/>
          <w:bCs w:val="false"/>
          <w:szCs w:val="24"/>
        </w:rPr>
        <w:t xml:space="preserve"> Obecne zagospodarowanie terenu. Na pierwszym planie widoczny budynek gospodarczy, </w:t>
        <w:br/>
        <w:t>w tle emitor i budynek ciepłowni</w:t>
      </w:r>
    </w:p>
    <w:p>
      <w:pPr>
        <w:pStyle w:val="Normal"/>
        <w:rPr>
          <w:szCs w:val="24"/>
        </w:rPr>
      </w:pPr>
      <w:r>
        <w:rPr>
          <w:szCs w:val="24"/>
        </w:rPr>
      </w:r>
    </w:p>
    <w:p>
      <w:pPr>
        <w:pStyle w:val="Normal"/>
        <w:rPr>
          <w:szCs w:val="24"/>
        </w:rPr>
      </w:pPr>
      <w:r>
        <w:rPr>
          <w:szCs w:val="24"/>
        </w:rPr>
        <w:t xml:space="preserve">Każdorazowo część terenu wydzielona na plac budowy będzie w pełni chroniona. Wokół placu wykonane zostanie stosowne ogrodzenie o wysokości 2,4 m, ustawione zostaną znaki ostrzegawcze. </w:t>
      </w:r>
    </w:p>
    <w:p>
      <w:pPr>
        <w:pStyle w:val="Normal"/>
        <w:rPr>
          <w:szCs w:val="24"/>
        </w:rPr>
      </w:pPr>
      <w:r>
        <w:rPr>
          <w:szCs w:val="24"/>
        </w:rPr>
        <w:t xml:space="preserve">Warunki pracy na terenie budowy, miejsce na zaplecze techniczne oraz socjalno-biurowe, miejsca okresowego składowania materiałów budowlanych oraz odpadów z rozbiórki i adaptacji budynków, itp. zostaną określone w Planie BIOZ (Warunki bezpieczeństwa i ochrona zdrowia na placu budowy). </w:t>
      </w:r>
    </w:p>
    <w:p>
      <w:pPr>
        <w:pStyle w:val="Normal"/>
        <w:rPr>
          <w:szCs w:val="24"/>
        </w:rPr>
      </w:pPr>
      <w:r>
        <w:rPr>
          <w:szCs w:val="24"/>
        </w:rPr>
        <w:t>Parking dla pojazdów budowy (samochody, koparki, itp.) zostanie zorganizowany  na podłożu utwardzonym, wykorzystywane będą wyłącznie pojazdy  sprawne technicznie. W trakcie prowadzenia inwestycji istnieje niewielkie ryzyko zanieczyszczenia gruntów, a tym samym pośrednio wód podziemnych substancjami ropopochodnymi z olejów, smarów i innych materiałów niezbędnych do bieżącej eksploatacji i konserwacji sprzętu. W celu zapewnienia maksymalnej ochrony dla środowiska teren potencjalnie narażony na zanieczyszczenie powinien być zabezpieczony,  a możliwość skażenia – zminimalizowana.  W analizowanym przypadku prace prowadzone będą  na terenie przemysłowym, częściowo wyposażonym w teren utwardzony. Oznacza to, że bez nakładów inwestycyjnych można zapewnić  bezpieczną dla środowiska eksploatację pojazdów na etapie realizacji przedsięwzięcia. Istniejący system dróg wewnętrznych zapewni odpowiednie warunki prowadzenia prac budowlanych oraz poruszanie się pojazdów. W ramach tej powierzchni zostanie wydzielony parking, w zakresie niezbędnym do prawidłowego prowadzenia robót.</w:t>
      </w:r>
    </w:p>
    <w:p>
      <w:pPr>
        <w:pStyle w:val="Normal"/>
        <w:rPr>
          <w:szCs w:val="24"/>
        </w:rPr>
      </w:pPr>
      <w:r>
        <w:rPr>
          <w:szCs w:val="24"/>
        </w:rPr>
        <w:t>Wjazd na teren budowy będzie się odbywał przez istniejącą bramę od strony ulicy Kabaty. Nie istnieje konieczność wykonywania żadnych dodatkowych prac umożliwiających dojazd pojazdów i maszyn na plac budowy.</w:t>
      </w:r>
    </w:p>
    <w:p>
      <w:pPr>
        <w:pStyle w:val="Normal"/>
        <w:rPr>
          <w:szCs w:val="24"/>
        </w:rPr>
      </w:pPr>
      <w:r>
        <w:rPr>
          <w:szCs w:val="24"/>
        </w:rPr>
        <w:t xml:space="preserve">Budowa realizowana będzie zgodnie z harmonogramem robót. Przekazywanie Placu Budowy będzie dokonywane uzgodnionymi etapami. Protokoły przekazania określonych segmentów budowy powinny zawierać załączniki graficzne przedstawiające teren przekazywany Wykonawcy i warunki jego wykorzystania. </w:t>
      </w:r>
    </w:p>
    <w:p>
      <w:pPr>
        <w:pStyle w:val="Normal"/>
        <w:rPr>
          <w:szCs w:val="24"/>
        </w:rPr>
      </w:pPr>
      <w:r>
        <w:rPr>
          <w:szCs w:val="24"/>
        </w:rPr>
        <w:t xml:space="preserve">Etapy budowy przedsięwzięcia w trakcie fazy realizacji: </w:t>
      </w:r>
    </w:p>
    <w:p>
      <w:pPr>
        <w:pStyle w:val="Normal"/>
        <w:numPr>
          <w:ilvl w:val="0"/>
          <w:numId w:val="21"/>
        </w:numPr>
        <w:shd w:val="clear" w:color="auto" w:fill="FFFFFF"/>
        <w:rPr>
          <w:rFonts w:ascii="Open Sans" w:hAnsi="Open Sans"/>
          <w:color w:val="00000A"/>
        </w:rPr>
      </w:pPr>
      <w:r>
        <w:rPr>
          <w:rFonts w:ascii="Open Sans" w:hAnsi="Open Sans"/>
          <w:color w:val="00000A"/>
        </w:rPr>
        <w:t>Prace rozbiórkowe istniejących obiektów budowlanych.</w:t>
      </w:r>
    </w:p>
    <w:p>
      <w:pPr>
        <w:pStyle w:val="Normal"/>
        <w:numPr>
          <w:ilvl w:val="0"/>
          <w:numId w:val="21"/>
        </w:numPr>
        <w:shd w:val="clear" w:color="auto" w:fill="FFFFFF"/>
        <w:rPr>
          <w:rFonts w:ascii="Open Sans" w:hAnsi="Open Sans"/>
          <w:color w:val="00000A"/>
        </w:rPr>
      </w:pPr>
      <w:r>
        <w:rPr>
          <w:rFonts w:ascii="Open Sans" w:hAnsi="Open Sans"/>
          <w:color w:val="00000A"/>
        </w:rPr>
        <w:t>Przygotowanie terenu inwestycyjnego - przygotowanie placu budowy oraz zabezpieczeń w celu minimalizacji oddziaływania na środowisko.</w:t>
      </w:r>
    </w:p>
    <w:p>
      <w:pPr>
        <w:pStyle w:val="Normal"/>
        <w:numPr>
          <w:ilvl w:val="0"/>
          <w:numId w:val="21"/>
        </w:numPr>
        <w:shd w:val="clear" w:color="auto" w:fill="FFFFFF"/>
        <w:rPr>
          <w:rFonts w:ascii="Open Sans" w:hAnsi="Open Sans"/>
          <w:color w:val="00000A"/>
        </w:rPr>
      </w:pPr>
      <w:r>
        <w:rPr>
          <w:rFonts w:ascii="Open Sans" w:hAnsi="Open Sans"/>
          <w:color w:val="00000A"/>
        </w:rPr>
        <w:t xml:space="preserve">Prace budowlano – konstrukcyjne. </w:t>
      </w:r>
    </w:p>
    <w:p>
      <w:pPr>
        <w:pStyle w:val="Normal"/>
        <w:numPr>
          <w:ilvl w:val="0"/>
          <w:numId w:val="21"/>
        </w:numPr>
        <w:shd w:val="clear" w:color="auto" w:fill="FFFFFF"/>
        <w:rPr>
          <w:rFonts w:ascii="Open Sans" w:hAnsi="Open Sans"/>
          <w:color w:val="00000A"/>
        </w:rPr>
      </w:pPr>
      <w:r>
        <w:rPr>
          <w:rFonts w:ascii="Open Sans" w:hAnsi="Open Sans"/>
          <w:color w:val="00000A"/>
        </w:rPr>
        <w:t xml:space="preserve">Prace w celu adaptacji technologii przekształcania odpadów komunalnych. </w:t>
      </w:r>
    </w:p>
    <w:p>
      <w:pPr>
        <w:pStyle w:val="Normal"/>
        <w:numPr>
          <w:ilvl w:val="0"/>
          <w:numId w:val="21"/>
        </w:numPr>
        <w:shd w:val="clear" w:color="auto" w:fill="FFFFFF"/>
        <w:rPr>
          <w:szCs w:val="24"/>
        </w:rPr>
      </w:pPr>
      <w:r>
        <w:rPr>
          <w:rFonts w:ascii="Open Sans" w:hAnsi="Open Sans"/>
          <w:color w:val="00000A"/>
        </w:rPr>
        <w:t xml:space="preserve">Zagospodarowanie terenu inwestycyjnego zielenią niską i wysoką. </w:t>
      </w:r>
    </w:p>
    <w:p>
      <w:pPr>
        <w:pStyle w:val="Normal"/>
        <w:rPr>
          <w:szCs w:val="24"/>
        </w:rPr>
      </w:pPr>
      <w:r>
        <w:rPr>
          <w:szCs w:val="24"/>
        </w:rPr>
        <w:t xml:space="preserve">Do prac budowlanych użyte będą materiały budowlane posiadające stosowne dopuszczenia do stosowania w budownictwie i spełniające wymagania obowiązujących w tym zakresie przepisów. Organizacja prac budowlanych będzie zgodna z ustawą Prawo budowlane i przepisami BHP, a przebieg budowy i jego zgodność z projektem będzie nadzorowany przez osoby do tego uprawnione. </w:t>
      </w:r>
    </w:p>
    <w:p>
      <w:pPr>
        <w:pStyle w:val="Normal"/>
        <w:rPr>
          <w:szCs w:val="24"/>
        </w:rPr>
      </w:pPr>
      <w:r>
        <w:rPr>
          <w:szCs w:val="24"/>
        </w:rPr>
        <w:t>Zaplanowane dodatkowe rozwiązania chroniące środowisko będą obejmowały:</w:t>
      </w:r>
    </w:p>
    <w:p>
      <w:pPr>
        <w:pStyle w:val="PlainText"/>
        <w:numPr>
          <w:ilvl w:val="0"/>
          <w:numId w:val="20"/>
        </w:numPr>
        <w:jc w:val="both"/>
        <w:rPr>
          <w:rFonts w:ascii="Times New Roman" w:hAnsi="Times New Roman"/>
          <w:sz w:val="24"/>
          <w:szCs w:val="24"/>
        </w:rPr>
      </w:pPr>
      <w:r>
        <w:rPr>
          <w:rFonts w:ascii="Times New Roman" w:hAnsi="Times New Roman"/>
          <w:sz w:val="24"/>
          <w:szCs w:val="24"/>
        </w:rPr>
        <w:t>eliminowanie pracy maszyn i urządzeń budowlanych na biegu jałowym,</w:t>
      </w:r>
    </w:p>
    <w:p>
      <w:pPr>
        <w:pStyle w:val="PlainText"/>
        <w:numPr>
          <w:ilvl w:val="0"/>
          <w:numId w:val="20"/>
        </w:numPr>
        <w:jc w:val="both"/>
        <w:rPr>
          <w:rFonts w:ascii="Times New Roman" w:hAnsi="Times New Roman"/>
          <w:sz w:val="24"/>
          <w:szCs w:val="24"/>
        </w:rPr>
      </w:pPr>
      <w:r>
        <w:rPr>
          <w:rFonts w:ascii="Times New Roman" w:hAnsi="Times New Roman"/>
          <w:sz w:val="24"/>
          <w:szCs w:val="24"/>
        </w:rPr>
        <w:t>zakaz napraw maszyn budowlanych na terenie inwestycji, mogących skutkować przypadkowymi wyciekami paliwa lub olejów,</w:t>
      </w:r>
    </w:p>
    <w:p>
      <w:pPr>
        <w:pStyle w:val="PlainText"/>
        <w:numPr>
          <w:ilvl w:val="0"/>
          <w:numId w:val="20"/>
        </w:numPr>
        <w:jc w:val="both"/>
        <w:rPr>
          <w:rFonts w:ascii="Times New Roman" w:hAnsi="Times New Roman"/>
          <w:sz w:val="24"/>
          <w:szCs w:val="24"/>
        </w:rPr>
      </w:pPr>
      <w:r>
        <w:rPr>
          <w:rFonts w:ascii="Times New Roman" w:hAnsi="Times New Roman"/>
          <w:sz w:val="24"/>
          <w:szCs w:val="24"/>
        </w:rPr>
        <w:t>tankowanie maszyn budowlanych poza obszarem planowanego przedsięwzięcia.</w:t>
      </w:r>
    </w:p>
    <w:p>
      <w:pPr>
        <w:pStyle w:val="Normal"/>
        <w:shd w:val="clear" w:color="auto" w:fill="FFFFFF"/>
        <w:ind w:hanging="0"/>
        <w:rPr>
          <w:szCs w:val="24"/>
        </w:rPr>
      </w:pPr>
      <w:r>
        <w:rPr>
          <w:szCs w:val="24"/>
        </w:rPr>
      </w:r>
    </w:p>
    <w:p>
      <w:pPr>
        <w:pStyle w:val="Nagwek3"/>
        <w:numPr>
          <w:ilvl w:val="2"/>
          <w:numId w:val="2"/>
        </w:numPr>
        <w:ind w:hanging="851"/>
        <w:rPr/>
      </w:pPr>
      <w:bookmarkStart w:id="13" w:name="_Toc518331276"/>
      <w:r>
        <w:rPr/>
        <w:t>Warunki użytkowania terenu w fazie eksploatacji przedsięwzięcia</w:t>
      </w:r>
      <w:bookmarkEnd w:id="13"/>
      <w:r>
        <w:rPr/>
        <w:t xml:space="preserve"> </w:t>
      </w:r>
    </w:p>
    <w:p>
      <w:pPr>
        <w:pStyle w:val="Normal"/>
        <w:rPr>
          <w:szCs w:val="24"/>
        </w:rPr>
      </w:pPr>
      <w:r>
        <w:rPr>
          <w:szCs w:val="24"/>
        </w:rPr>
        <w:t xml:space="preserve">Teren w fazie eksploatacji będzie wykorzystywany zgodnie z jego przeznaczeniem </w:t>
        <w:br/>
        <w:t xml:space="preserve">i przewidywanym planem funkcjonowania. Wszystkie instalacje będą spełniać określone role dedykowane głównemu procesowi tj. termicznemu przekształcaniu odpadów. </w:t>
      </w:r>
    </w:p>
    <w:p>
      <w:pPr>
        <w:pStyle w:val="Normal"/>
        <w:rPr>
          <w:szCs w:val="24"/>
        </w:rPr>
      </w:pPr>
      <w:r>
        <w:rPr>
          <w:szCs w:val="24"/>
        </w:rPr>
        <w:t xml:space="preserve">Prace związane z procesem termicznego przekształcania odpadów paliwa alternatywnego, </w:t>
        <w:br/>
        <w:t xml:space="preserve">w tym rozładunek odpadów do instalacji oraz magazynowanie odpadów powstających w wyniku tego procesu będą realizowane w zamkniętych halach i pomieszczeniach.  </w:t>
      </w:r>
    </w:p>
    <w:p>
      <w:pPr>
        <w:pStyle w:val="Normal"/>
        <w:rPr>
          <w:szCs w:val="24"/>
        </w:rPr>
      </w:pPr>
      <w:r>
        <w:rPr>
          <w:szCs w:val="24"/>
        </w:rPr>
        <w:t xml:space="preserve"> </w:t>
      </w:r>
      <w:r>
        <w:rPr>
          <w:szCs w:val="24"/>
        </w:rPr>
        <w:t xml:space="preserve">Dowóz i wywóz odpadów, odpadów poprocesowych, materiałów eksploatacyjnych i części zamiennych będzie realizowany przy użyciu sieci utwardzonych dróg wewnętrznych oraz dróg dojazdowych.  </w:t>
      </w:r>
    </w:p>
    <w:p>
      <w:pPr>
        <w:pStyle w:val="Normal"/>
        <w:rPr>
          <w:szCs w:val="24"/>
        </w:rPr>
      </w:pPr>
      <w:r>
        <w:rPr>
          <w:szCs w:val="24"/>
        </w:rPr>
        <w:t xml:space="preserve">Wydzielona część terenu zostanie przeznaczona na zieleńce.  </w:t>
      </w:r>
    </w:p>
    <w:p>
      <w:pPr>
        <w:pStyle w:val="Normal"/>
        <w:rPr>
          <w:szCs w:val="24"/>
        </w:rPr>
      </w:pPr>
      <w:r>
        <w:rPr>
          <w:szCs w:val="24"/>
        </w:rPr>
        <w:t>Eksploatacja obiektu i instalacji technologicznych prowadzona będzie zgodnie z uzyskanymi decyzjami wymaganymi przepisami Prawa budowlanego i ochrony środowiska, przy spełnieniu obowiązujących dla tego typu instalacji norm technicznych, wymagań BHP i ppoż.</w:t>
      </w:r>
    </w:p>
    <w:p>
      <w:pPr>
        <w:pStyle w:val="Normal"/>
        <w:rPr>
          <w:szCs w:val="24"/>
        </w:rPr>
      </w:pPr>
      <w:r>
        <w:rPr>
          <w:szCs w:val="24"/>
        </w:rPr>
        <w:t>Teren zakładu będzie oznakowany i oświetlony, wygrodzony oraz zabezpieczony przed dostępem osób nieupoważnionych.</w:t>
      </w:r>
    </w:p>
    <w:p>
      <w:pPr>
        <w:pStyle w:val="Normal"/>
        <w:spacing w:before="48" w:after="48"/>
        <w:rPr>
          <w:b/>
          <w:b/>
          <w:color w:val="00000A"/>
          <w:szCs w:val="24"/>
        </w:rPr>
      </w:pPr>
      <w:r>
        <w:rPr>
          <w:b/>
          <w:color w:val="00000A"/>
          <w:szCs w:val="24"/>
        </w:rPr>
      </w:r>
    </w:p>
    <w:p>
      <w:pPr>
        <w:pStyle w:val="Nagwek3"/>
        <w:numPr>
          <w:ilvl w:val="2"/>
          <w:numId w:val="2"/>
        </w:numPr>
        <w:ind w:hanging="851"/>
        <w:rPr/>
      </w:pPr>
      <w:bookmarkStart w:id="14" w:name="_Toc518331277"/>
      <w:bookmarkEnd w:id="14"/>
      <w:r>
        <w:rPr/>
        <w:t>Warunki użytkowania terenu w odniesieniu do obszarów szczególnego zagrożenia powodzią</w:t>
      </w:r>
    </w:p>
    <w:p>
      <w:pPr>
        <w:pStyle w:val="Normal"/>
        <w:rPr>
          <w:szCs w:val="24"/>
        </w:rPr>
      </w:pPr>
      <w:r>
        <w:rPr>
          <w:szCs w:val="24"/>
        </w:rPr>
        <w:t xml:space="preserve">W myśl </w:t>
      </w:r>
      <w:r>
        <w:rPr>
          <w:i/>
          <w:szCs w:val="24"/>
        </w:rPr>
        <w:t>art. 16 pkt 34 ustawy z dnia 20 lipca 2017 r. - Prawo wodne</w:t>
      </w:r>
      <w:r>
        <w:rPr>
          <w:szCs w:val="24"/>
        </w:rPr>
        <w:t>, przez obszary szczególnego zagrożenia powodzią rozumie się:</w:t>
      </w:r>
    </w:p>
    <w:p>
      <w:pPr>
        <w:pStyle w:val="Normal"/>
        <w:numPr>
          <w:ilvl w:val="0"/>
          <w:numId w:val="22"/>
        </w:numPr>
        <w:rPr>
          <w:szCs w:val="24"/>
        </w:rPr>
      </w:pPr>
      <w:r>
        <w:rPr>
          <w:szCs w:val="24"/>
        </w:rPr>
        <w:t>obszary, na których prawdopodobieństwo wystąpienia powodzi jest średnie i wynosi 1%,</w:t>
      </w:r>
    </w:p>
    <w:p>
      <w:pPr>
        <w:pStyle w:val="Normal"/>
        <w:numPr>
          <w:ilvl w:val="0"/>
          <w:numId w:val="22"/>
        </w:numPr>
        <w:rPr>
          <w:szCs w:val="24"/>
        </w:rPr>
      </w:pPr>
      <w:r>
        <w:rPr>
          <w:szCs w:val="24"/>
        </w:rPr>
        <w:t>obszary, na których prawdopodobieństwo wystąpienia powodzi jest wysokie i wynosi 10%,</w:t>
      </w:r>
    </w:p>
    <w:p>
      <w:pPr>
        <w:pStyle w:val="Normal"/>
        <w:numPr>
          <w:ilvl w:val="0"/>
          <w:numId w:val="22"/>
        </w:numPr>
        <w:rPr>
          <w:szCs w:val="24"/>
        </w:rPr>
      </w:pPr>
      <w:r>
        <w:rPr>
          <w:szCs w:val="24"/>
        </w:rPr>
        <w:t>obszary między linią brzegu a wałem przeciwpowodziowym lub naturalnym wysokim brzegiem, w który wbudowano wał przeciwpowodziowy, a także wyspy i przymuliska, o których mowa w art. 224, stanowiące działki ewidencyjne,</w:t>
      </w:r>
    </w:p>
    <w:p>
      <w:pPr>
        <w:pStyle w:val="Normal"/>
        <w:numPr>
          <w:ilvl w:val="0"/>
          <w:numId w:val="22"/>
        </w:numPr>
        <w:rPr>
          <w:szCs w:val="24"/>
        </w:rPr>
      </w:pPr>
      <w:r>
        <w:rPr>
          <w:szCs w:val="24"/>
        </w:rPr>
        <w:t>pas techniczny.</w:t>
      </w:r>
    </w:p>
    <w:p>
      <w:pPr>
        <w:pStyle w:val="Normal"/>
        <w:rPr>
          <w:szCs w:val="24"/>
        </w:rPr>
      </w:pPr>
      <w:r>
        <w:rPr>
          <w:szCs w:val="24"/>
        </w:rPr>
        <w:t>Zgodnie z danymi prezentowanymi na mapach zagrożenia powodziowego na hydroportalu ISOK pod adresem internetowym http://mapy.isok.gov.pl/imap/, analizowany teren znajduje się poza obszarami na których występuje średnie lub wysokie prawdopodobieństwo wystąpienia powodzi, a także poza obszarem między linią brzegu a wałem przeciwpowodziowym.</w:t>
      </w:r>
    </w:p>
    <w:p>
      <w:pPr>
        <w:pStyle w:val="Normal"/>
        <w:rPr>
          <w:szCs w:val="24"/>
        </w:rPr>
      </w:pPr>
      <w:r>
        <w:rPr>
          <w:szCs w:val="24"/>
        </w:rPr>
        <w:t>Najbliższe tereny, na których istnieje prawdopodobieństwo wystąpienia powodzi położone są w bezpośrednim sąsiedztwie koryta rzeki Soły, w odległości około 920 m na pónocny-wschód od terenu planowanego przedsięwzięcia.</w:t>
      </w:r>
    </w:p>
    <w:p>
      <w:pPr>
        <w:pStyle w:val="Normal"/>
        <w:rPr>
          <w:szCs w:val="24"/>
        </w:rPr>
      </w:pPr>
      <w:r>
        <w:rPr>
          <w:szCs w:val="24"/>
        </w:rPr>
        <w:t xml:space="preserve">Analizowany teren znajduje się poza obszarem zagrożonym podtopieniami (okresowym podniesieniem się poziomu wód gruntowych w sąsiedztwie cieków wodnych). </w:t>
      </w:r>
    </w:p>
    <w:p>
      <w:pPr>
        <w:pStyle w:val="Normal"/>
        <w:rPr>
          <w:b/>
          <w:b/>
          <w:color w:val="00000A"/>
          <w:szCs w:val="24"/>
        </w:rPr>
      </w:pPr>
      <w:r>
        <w:rPr>
          <w:b/>
          <w:color w:val="00000A"/>
          <w:szCs w:val="24"/>
        </w:rPr>
      </w:r>
    </w:p>
    <w:p>
      <w:pPr>
        <w:pStyle w:val="Nagwek2"/>
        <w:numPr>
          <w:ilvl w:val="1"/>
          <w:numId w:val="2"/>
        </w:numPr>
        <w:ind w:hanging="578"/>
        <w:rPr>
          <w:color w:val="00000A"/>
          <w:szCs w:val="24"/>
        </w:rPr>
      </w:pPr>
      <w:bookmarkStart w:id="15" w:name="_Toc518331278"/>
      <w:r>
        <w:rPr/>
        <w:t>Charakterystyka procesów produkcyjnych</w:t>
      </w:r>
      <w:bookmarkEnd w:id="15"/>
      <w:r>
        <w:rPr/>
        <w:t xml:space="preserve"> </w:t>
      </w:r>
    </w:p>
    <w:p>
      <w:pPr>
        <w:pStyle w:val="Nagwek3"/>
        <w:numPr>
          <w:ilvl w:val="2"/>
          <w:numId w:val="2"/>
        </w:numPr>
        <w:ind w:hanging="851"/>
        <w:rPr/>
      </w:pPr>
      <w:bookmarkStart w:id="16" w:name="_Toc518331279"/>
      <w:r>
        <w:rPr/>
        <w:t>Ogólna charakterystyka przedsięwzięcia</w:t>
      </w:r>
      <w:bookmarkEnd w:id="16"/>
      <w:r>
        <w:rPr/>
        <w:t xml:space="preserve"> </w:t>
      </w:r>
    </w:p>
    <w:p>
      <w:pPr>
        <w:pStyle w:val="Normal"/>
        <w:rPr>
          <w:szCs w:val="24"/>
        </w:rPr>
      </w:pPr>
      <w:r>
        <w:rPr>
          <w:szCs w:val="24"/>
        </w:rPr>
        <w:t xml:space="preserve">Dla opisywanego przedsięwzięcia zakłada się następujący zakres prac budowlanych: </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 xml:space="preserve">adaptacja terenu do potrzeb budowy, w tym prace rozbiórkowe budynku kotłowni, budynku gospodarczego oraz emitora stalowego, </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 xml:space="preserve">wybudowanie instalacji termicznego przekształcania odpadów z dwoma liniami technologicznymi o łącznej wydajności 1500 kg/h. Zakłada się pracę ciągłą przez 24 h na dobę, 7 dni w tygodniu z zakładaną dyspozycyjnością min. 8200 h/rok,  </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wykonanie systemu kanalizacji i przyłącza do kanalizacji deszczowej (miejska kanalizacja deszczowa znajduje się w odległości około 60 m od granicy planowanego zakładu),</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wykonanie instalacji sieci ciepłowniczej w celu podłączenia zakładu do sąsiednich zakładów przemysłowych oraz do budynków mieszkalnych.</w:t>
      </w:r>
    </w:p>
    <w:p>
      <w:pPr>
        <w:pStyle w:val="Normal"/>
        <w:rPr>
          <w:szCs w:val="24"/>
        </w:rPr>
      </w:pPr>
      <w:r>
        <w:rPr>
          <w:szCs w:val="24"/>
        </w:rPr>
        <w:t>Ze względu na brak szczegółowych informacji i rozwiązań, w niniejszym raporcie nie uwzględniono budowy brakującego odcinka zewnętrznej kanalizacji deszczowej oraz sieci ciepłowniczej.</w:t>
      </w:r>
    </w:p>
    <w:p>
      <w:pPr>
        <w:pStyle w:val="Normal"/>
        <w:rPr>
          <w:szCs w:val="24"/>
        </w:rPr>
      </w:pPr>
      <w:r>
        <w:rPr>
          <w:szCs w:val="24"/>
        </w:rPr>
      </w:r>
    </w:p>
    <w:p>
      <w:pPr>
        <w:pStyle w:val="Nagwek3"/>
        <w:numPr>
          <w:ilvl w:val="2"/>
          <w:numId w:val="2"/>
        </w:numPr>
        <w:ind w:hanging="851"/>
        <w:rPr/>
      </w:pPr>
      <w:bookmarkStart w:id="17" w:name="_Toc518331280"/>
      <w:r>
        <w:rPr/>
        <w:t>Przekształcanie termiczne</w:t>
      </w:r>
      <w:bookmarkEnd w:id="17"/>
      <w:r>
        <w:rPr/>
        <w:t xml:space="preserve"> </w:t>
      </w:r>
    </w:p>
    <w:p>
      <w:pPr>
        <w:pStyle w:val="Normal"/>
        <w:rPr>
          <w:szCs w:val="24"/>
        </w:rPr>
      </w:pPr>
      <w:r>
        <w:rPr>
          <w:szCs w:val="24"/>
        </w:rPr>
        <w:t xml:space="preserve">Planowana instalacja termicznego przekształcania odpadów oparta zostanie na nowoczesnej, technicznie dojrzałej (dobra praktyka inżynierska GEP oznaczająca stosowanie akceptowalnych praktyk inżynierskich w postaci odpowiednich norm i wymagań technicznych w odniesieniu do pełnego cyklu pracy instalacji) technologii spalania odpadów w piecu z paleniskiem rusztowym. Do termicznego przekształcania kierowane będą odpady w postaci paliwa alternatywnego RDF. Odpady będą bezpośrednio kierowane do leja zasypowego pieca, stanowiąc w ten sposób źródło odzysku energii zawartej w odpadach.  </w:t>
      </w:r>
    </w:p>
    <w:p>
      <w:pPr>
        <w:pStyle w:val="Normal"/>
        <w:rPr>
          <w:szCs w:val="24"/>
        </w:rPr>
      </w:pPr>
      <w:r>
        <w:rPr>
          <w:szCs w:val="24"/>
        </w:rPr>
        <w:t xml:space="preserve"> </w:t>
      </w:r>
      <w:r>
        <w:rPr>
          <w:szCs w:val="24"/>
        </w:rPr>
        <w:t xml:space="preserve">Proces termicznego przekształcania odpadów przebiegać będzie autotermicznie, to znaczy, że nie będzie wymagać on ciągłego wspomagania przy użyciu konwencjonalnego paliwa, a sam proces będzie źródłem energii, zamienianej dalej na energię cieplną. </w:t>
      </w:r>
    </w:p>
    <w:p>
      <w:pPr>
        <w:pStyle w:val="Normal"/>
        <w:rPr>
          <w:szCs w:val="24"/>
        </w:rPr>
      </w:pPr>
      <w:r>
        <w:rPr>
          <w:szCs w:val="24"/>
        </w:rPr>
        <w:t xml:space="preserve">Integralną częścią instalacji będzie efektywny kilkustopniowy system oczyszczania spalin, gwarantujący emisję zanieczyszczeń znacznie poniżej wymaganych prawnie standardów emisyjnych. Dodatkowo proces termicznego przekształcania odpadów będzie tak prowadzony, aby w jego trakcie powstawało jak najmniej zanieczyszczeń. </w:t>
      </w:r>
    </w:p>
    <w:p>
      <w:pPr>
        <w:pStyle w:val="Normal"/>
        <w:rPr>
          <w:szCs w:val="24"/>
        </w:rPr>
      </w:pPr>
      <w:r>
        <w:rPr>
          <w:szCs w:val="24"/>
        </w:rPr>
        <w:t xml:space="preserve">Odpady poprocesowe z procesu termicznego przekształcania, takie jak popioły oraz odpady pozostające po procesie oczyszczania spalin, będą magazynowane w zamkniętych pomieszczeniach. W przypadku żużli i popiołów paleniskowych, które nie są odpadem niebezpiecznym, odpady te będą zagospodarowywane w ramach systemu gospodarki odpadami prowadzonego przez spółkę Beskid Żywiec Sp. z o.o. lub przekazywane uprawnionym podmiotom zewnętrznym. Odpady z oczyszczania spalin, jako odpady niebezpieczne, będą przekazywane do unieszkodliwienia podmiotom prowadzącym odpowiednie instalacje, wybranym w drodze szczegółowej procedury uwzględniającej możliwości techniczne </w:t>
        <w:br/>
        <w:t>i bezpieczeństwo dla zdrowia ludzi i dla środowiska oraz posiadane decyzje formalno-prawne.</w:t>
      </w:r>
    </w:p>
    <w:p>
      <w:pPr>
        <w:pStyle w:val="Normal"/>
        <w:rPr>
          <w:szCs w:val="24"/>
        </w:rPr>
      </w:pPr>
      <w:r>
        <w:rPr>
          <w:szCs w:val="24"/>
        </w:rPr>
        <w:t xml:space="preserve">Zakłada się, że do termicznego przekształcania będzie kierowane wyłącznie paliwo alternatywne RDF oraz odpady biomasy. Zgodnie z art.  2 ustawy o odpadach, jej przepisów, </w:t>
        <w:br/>
        <w:t xml:space="preserve">a więc także tych dotyczących termicznego przekształcania, nie stosuje się do biomasy w postaci słomy oraz innych, niebędących niebezpiecznymi, naturalnych substancji pochodzących </w:t>
        <w:br/>
        <w:t>z produkcji rolniczej lub leśnej, wykorzystywanej do produkcji energii z takiej biomasy za pomocą procesów lub metod, które nie są szkodliwe dla środowiska ani nie stanowią zagrożenia dla życia i zdrowia ludzi.</w:t>
      </w:r>
    </w:p>
    <w:p>
      <w:pPr>
        <w:pStyle w:val="Normal"/>
        <w:rPr>
          <w:szCs w:val="24"/>
        </w:rPr>
      </w:pPr>
      <w:r>
        <w:rPr>
          <w:szCs w:val="24"/>
        </w:rPr>
        <w:t xml:space="preserve">W celu zagwarantowania odpowiedniej pracy instalacji i norm środowiskowych do zakładu nie będą przyjmowane następujące grupy odpadów: </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zmieszane odpady komunalne oraz odpady z sortowania odpadów komunalnych, </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odpady z produkcji rzemieślniczej, handlu i usług, które pod względem składu zbliżone są do odpadów komunalnych z gospodarstw domowych – (odpady przemysłowe i handlowe inne niż niebezpieczne), </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odpady z demontażu odpadów wielkogabarytowych, </w:t>
      </w:r>
    </w:p>
    <w:p>
      <w:pPr>
        <w:pStyle w:val="PlainText"/>
        <w:numPr>
          <w:ilvl w:val="0"/>
          <w:numId w:val="20"/>
        </w:numPr>
        <w:jc w:val="both"/>
        <w:rPr>
          <w:rFonts w:ascii="Times New Roman" w:hAnsi="Times New Roman"/>
          <w:sz w:val="24"/>
          <w:szCs w:val="24"/>
        </w:rPr>
      </w:pPr>
      <w:r>
        <w:rPr>
          <w:rFonts w:ascii="Times New Roman" w:hAnsi="Times New Roman"/>
          <w:sz w:val="24"/>
          <w:szCs w:val="24"/>
        </w:rPr>
        <w:t>meble i drewno zanieczyszczone substancjami niebezpiecznymi,</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palne odpady balastowe pochodzące z sortowni odpadów surowcowych. </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odpady z ubojni zwierząt jaki również specjalne odpady, które ze względu na ich łatwopalność, ich toksyczność, korozyjność lub charakter wybuchowy nie mogą być unieszkodliwiane w ten sam sposób co odpady komunalne bez stwarzania niebezpieczeństwa dla ludzi i dla środowiska, </w:t>
      </w:r>
    </w:p>
    <w:p>
      <w:pPr>
        <w:pStyle w:val="PlainText"/>
        <w:numPr>
          <w:ilvl w:val="0"/>
          <w:numId w:val="20"/>
        </w:numPr>
        <w:jc w:val="both"/>
        <w:rPr>
          <w:rFonts w:ascii="Times New Roman" w:hAnsi="Times New Roman"/>
          <w:sz w:val="24"/>
          <w:szCs w:val="24"/>
        </w:rPr>
      </w:pPr>
      <w:r>
        <w:rPr>
          <w:rFonts w:ascii="Times New Roman" w:hAnsi="Times New Roman"/>
          <w:sz w:val="24"/>
          <w:szCs w:val="24"/>
        </w:rPr>
        <w:t>odpady niebezpieczne,</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wszystkie przedmioty (odpady), które ze względu na ich wymiary, wagę lub naturę nie są zgodne z parametrami instalacji. </w:t>
      </w:r>
    </w:p>
    <w:p>
      <w:pPr>
        <w:pStyle w:val="Normal"/>
        <w:rPr>
          <w:szCs w:val="24"/>
        </w:rPr>
      </w:pPr>
      <w:r>
        <w:rPr>
          <w:szCs w:val="24"/>
        </w:rPr>
        <w:t xml:space="preserve"> </w:t>
      </w:r>
      <w:r>
        <w:rPr>
          <w:szCs w:val="24"/>
        </w:rPr>
        <w:t xml:space="preserve">Ewidencja przyjmowanych do instalacji odpadów przy wjeździe na teren zakładu pozwoli na kontrolę, ograniczenie lub całkowite wyeliminowanie odpadów, które mogły by zakłócić prawidłową pracę instalacji. </w:t>
      </w:r>
    </w:p>
    <w:p>
      <w:pPr>
        <w:pStyle w:val="Normal"/>
        <w:rPr>
          <w:b/>
          <w:b/>
          <w:color w:val="00000A"/>
          <w:szCs w:val="24"/>
        </w:rPr>
      </w:pPr>
      <w:r>
        <w:rPr>
          <w:b/>
          <w:color w:val="00000A"/>
          <w:szCs w:val="24"/>
        </w:rPr>
      </w:r>
    </w:p>
    <w:p>
      <w:pPr>
        <w:pStyle w:val="Nagwek3"/>
        <w:numPr>
          <w:ilvl w:val="2"/>
          <w:numId w:val="2"/>
        </w:numPr>
        <w:ind w:hanging="851"/>
        <w:rPr/>
      </w:pPr>
      <w:bookmarkStart w:id="18" w:name="_Toc518331281"/>
      <w:r>
        <w:rPr/>
        <w:t>Budowa systemu energetycznego</w:t>
      </w:r>
      <w:bookmarkEnd w:id="18"/>
      <w:r>
        <w:rPr/>
        <w:t xml:space="preserve"> </w:t>
      </w:r>
    </w:p>
    <w:p>
      <w:pPr>
        <w:pStyle w:val="Normal"/>
        <w:rPr>
          <w:szCs w:val="24"/>
        </w:rPr>
      </w:pPr>
      <w:r>
        <w:rPr>
          <w:szCs w:val="24"/>
        </w:rPr>
        <w:t>Budowa systemu polegać będzie na instalacji maszyn i urządzeń energetycznych, które  pozwolą na maksymalne wykorzystanie energii wytwarzanej przez linię termicznego przekształcania odpadów komunalnych w instalacji. Za  pomocą wymiennika ciepła będzie podgrzewana woda sieciowa dla sytemu ciepłowniczego. Ciepło będzie trafiać do sieci ciepłowniczej do wykorzystania przez okoliczne zakłady przemysłowe lub do miejskiego systemu ciepłowniczego.</w:t>
      </w:r>
    </w:p>
    <w:p>
      <w:pPr>
        <w:pStyle w:val="Normal"/>
        <w:rPr>
          <w:szCs w:val="24"/>
        </w:rPr>
      </w:pPr>
      <w:r>
        <w:rPr>
          <w:szCs w:val="24"/>
        </w:rPr>
        <w:t>Przy założeniu pracy instalacji z obciążeniem 100% przez zakładany czas, oczekiwana przewidywana ilość energii cieplnej z termicznego przekształcania odpadów to około 147 600 GJ/rok. Dostawa ciepła do ogrzewania budynków mieszkalnych pozwala na zaspokojenie potrzeb energetycznych około 70000 m</w:t>
      </w:r>
      <w:r>
        <w:rPr>
          <w:szCs w:val="24"/>
          <w:vertAlign w:val="superscript"/>
        </w:rPr>
        <w:t>2</w:t>
      </w:r>
      <w:r>
        <w:rPr>
          <w:szCs w:val="24"/>
        </w:rPr>
        <w:t xml:space="preserve"> powierzchni użytkowej, przeciętnie zaizolowanych budynków mieszkalnych. Przy założeniu średniej powierzchni domu wynoszącej 120 m</w:t>
      </w:r>
      <w:r>
        <w:rPr>
          <w:szCs w:val="24"/>
          <w:vertAlign w:val="superscript"/>
        </w:rPr>
        <w:t>2</w:t>
      </w:r>
      <w:r>
        <w:rPr>
          <w:szCs w:val="24"/>
        </w:rPr>
        <w:t xml:space="preserve"> daje to możliwość ogrzania około 580 domów. Na obecnym etapie nie zostały podjęte wiążące decyzje dotyczące podziału wykorzystania ciepła z instalacji pomiędzy przemysł i okolicznych mieszkańców.</w:t>
      </w:r>
    </w:p>
    <w:p>
      <w:pPr>
        <w:pStyle w:val="Normal"/>
        <w:rPr>
          <w:szCs w:val="24"/>
        </w:rPr>
      </w:pPr>
      <w:r>
        <w:rPr>
          <w:szCs w:val="24"/>
        </w:rPr>
      </w:r>
    </w:p>
    <w:p>
      <w:pPr>
        <w:pStyle w:val="Nagwek3"/>
        <w:numPr>
          <w:ilvl w:val="2"/>
          <w:numId w:val="2"/>
        </w:numPr>
        <w:ind w:hanging="851"/>
        <w:rPr/>
      </w:pPr>
      <w:bookmarkStart w:id="19" w:name="_Toc518331282"/>
      <w:r>
        <w:rPr/>
        <w:t>Przyjmowane odpady</w:t>
      </w:r>
      <w:bookmarkEnd w:id="19"/>
      <w:r>
        <w:rPr/>
        <w:t xml:space="preserve"> </w:t>
      </w:r>
    </w:p>
    <w:p>
      <w:pPr>
        <w:pStyle w:val="Normal"/>
        <w:rPr>
          <w:szCs w:val="24"/>
        </w:rPr>
      </w:pPr>
      <w:r>
        <w:rPr>
          <w:szCs w:val="24"/>
        </w:rPr>
        <w:t xml:space="preserve">Zapisy europejskiego i polskiego prawa dokonują hierarchii postępowania z odpadami według kryterium przyjęcia rozwiązań najlepszych z punktu widzenia środowiska. Odstępstwo od takiej hierarchii może być konieczne w przypadku określonych strumieni odpadów, jeżeli jest to uzasadnione między innymi wykonalnością techniczną, opłacalnością ekonomiczną i ochroną środowiska.  </w:t>
      </w:r>
    </w:p>
    <w:p>
      <w:pPr>
        <w:pStyle w:val="Normal"/>
        <w:rPr>
          <w:szCs w:val="24"/>
        </w:rPr>
      </w:pPr>
      <w:r>
        <w:rPr>
          <w:szCs w:val="24"/>
        </w:rPr>
        <w:t xml:space="preserve">Wobec powyższego, w funkcjonującym na terenie miasta Żywca systemie gospodarki odpadami przyjęto następującą hierarchię postępowania z odpadami:  </w:t>
      </w:r>
    </w:p>
    <w:p>
      <w:pPr>
        <w:pStyle w:val="Normal"/>
        <w:numPr>
          <w:ilvl w:val="0"/>
          <w:numId w:val="23"/>
        </w:numPr>
        <w:ind w:left="709" w:hanging="312"/>
        <w:rPr>
          <w:szCs w:val="24"/>
        </w:rPr>
      </w:pPr>
      <w:r>
        <w:rPr>
          <w:szCs w:val="24"/>
        </w:rPr>
        <w:t xml:space="preserve">zapobieganie, </w:t>
      </w:r>
    </w:p>
    <w:p>
      <w:pPr>
        <w:pStyle w:val="Normal"/>
        <w:numPr>
          <w:ilvl w:val="0"/>
          <w:numId w:val="23"/>
        </w:numPr>
        <w:ind w:left="709" w:hanging="312"/>
        <w:rPr>
          <w:szCs w:val="24"/>
        </w:rPr>
      </w:pPr>
      <w:r>
        <w:rPr>
          <w:szCs w:val="24"/>
        </w:rPr>
        <w:t xml:space="preserve">przygotowanie do ponownego użycia, </w:t>
      </w:r>
    </w:p>
    <w:p>
      <w:pPr>
        <w:pStyle w:val="Normal"/>
        <w:numPr>
          <w:ilvl w:val="0"/>
          <w:numId w:val="23"/>
        </w:numPr>
        <w:ind w:left="709" w:hanging="312"/>
        <w:rPr>
          <w:szCs w:val="24"/>
        </w:rPr>
      </w:pPr>
      <w:r>
        <w:rPr>
          <w:szCs w:val="24"/>
        </w:rPr>
        <w:t xml:space="preserve">recykling, </w:t>
      </w:r>
    </w:p>
    <w:p>
      <w:pPr>
        <w:pStyle w:val="Normal"/>
        <w:numPr>
          <w:ilvl w:val="0"/>
          <w:numId w:val="23"/>
        </w:numPr>
        <w:ind w:left="709" w:hanging="312"/>
        <w:rPr>
          <w:szCs w:val="24"/>
        </w:rPr>
      </w:pPr>
      <w:r>
        <w:rPr>
          <w:szCs w:val="24"/>
        </w:rPr>
        <w:t xml:space="preserve">inne metody odzysku, np. odzysk energii, </w:t>
      </w:r>
    </w:p>
    <w:p>
      <w:pPr>
        <w:pStyle w:val="Normal"/>
        <w:numPr>
          <w:ilvl w:val="0"/>
          <w:numId w:val="23"/>
        </w:numPr>
        <w:ind w:left="709" w:hanging="312"/>
        <w:rPr>
          <w:szCs w:val="24"/>
        </w:rPr>
      </w:pPr>
      <w:r>
        <w:rPr>
          <w:szCs w:val="24"/>
        </w:rPr>
        <w:t xml:space="preserve">unieszkodliwianie. </w:t>
      </w:r>
    </w:p>
    <w:p>
      <w:pPr>
        <w:pStyle w:val="Normal"/>
        <w:rPr>
          <w:szCs w:val="24"/>
        </w:rPr>
      </w:pPr>
      <w:r>
        <w:rPr>
          <w:szCs w:val="24"/>
        </w:rPr>
        <w:t xml:space="preserve"> </w:t>
      </w:r>
      <w:r>
        <w:rPr>
          <w:szCs w:val="24"/>
        </w:rPr>
        <w:t xml:space="preserve">Biorąc pod uwagę hierarchię postępowania z odpadami, jak również zapisy Kpgo2022 przyjęto następujące rozwiązanie dla systemu gospodarki odpadami dla miasta Żywca:  </w:t>
      </w:r>
    </w:p>
    <w:p>
      <w:pPr>
        <w:pStyle w:val="Normal"/>
        <w:numPr>
          <w:ilvl w:val="0"/>
          <w:numId w:val="24"/>
        </w:numPr>
        <w:ind w:left="709" w:hanging="312"/>
        <w:rPr>
          <w:szCs w:val="24"/>
        </w:rPr>
      </w:pPr>
      <w:r>
        <w:rPr>
          <w:szCs w:val="24"/>
        </w:rPr>
        <w:t xml:space="preserve">Zapobieganie powstawaniu odpadów – poprzez edukację ekologiczną dla mieszkańców,  </w:t>
      </w:r>
    </w:p>
    <w:p>
      <w:pPr>
        <w:pStyle w:val="Normal"/>
        <w:numPr>
          <w:ilvl w:val="0"/>
          <w:numId w:val="24"/>
        </w:numPr>
        <w:ind w:left="709" w:hanging="312"/>
        <w:rPr>
          <w:szCs w:val="24"/>
        </w:rPr>
      </w:pPr>
      <w:r>
        <w:rPr>
          <w:szCs w:val="24"/>
        </w:rPr>
        <w:t>Rozwój selektywnego zbierania odpadów wybranych rodzajów i frakcji odpadów,</w:t>
      </w:r>
    </w:p>
    <w:p>
      <w:pPr>
        <w:pStyle w:val="Normal"/>
        <w:numPr>
          <w:ilvl w:val="0"/>
          <w:numId w:val="24"/>
        </w:numPr>
        <w:ind w:left="709" w:hanging="312"/>
        <w:rPr>
          <w:szCs w:val="24"/>
        </w:rPr>
      </w:pPr>
      <w:r>
        <w:rPr>
          <w:szCs w:val="24"/>
        </w:rPr>
        <w:t xml:space="preserve">Odzysk i recykling (osiągany na dzisiaj na jednym z najwyższym w Polsce = 53%): </w:t>
      </w:r>
    </w:p>
    <w:p>
      <w:pPr>
        <w:pStyle w:val="Normal"/>
        <w:numPr>
          <w:ilvl w:val="0"/>
          <w:numId w:val="25"/>
        </w:numPr>
        <w:rPr>
          <w:szCs w:val="24"/>
        </w:rPr>
      </w:pPr>
      <w:r>
        <w:rPr>
          <w:szCs w:val="24"/>
        </w:rPr>
        <w:t>odpady materiałowe tj. papier, tworzywa sztuczne, metale, szkło będą – kierowane do odzysku w sortowni odpadów, a następnie do recyklingu,</w:t>
      </w:r>
    </w:p>
    <w:p>
      <w:pPr>
        <w:pStyle w:val="Normal"/>
        <w:numPr>
          <w:ilvl w:val="0"/>
          <w:numId w:val="25"/>
        </w:numPr>
        <w:rPr>
          <w:szCs w:val="24"/>
        </w:rPr>
      </w:pPr>
      <w:r>
        <w:rPr>
          <w:szCs w:val="24"/>
        </w:rPr>
        <w:t>odpady wielkogabarytowe – będą poddawane demontażowi, a następnie kierowane do odzysku i/lub recyklingu,</w:t>
      </w:r>
    </w:p>
    <w:p>
      <w:pPr>
        <w:pStyle w:val="Normal"/>
        <w:numPr>
          <w:ilvl w:val="0"/>
          <w:numId w:val="25"/>
        </w:numPr>
        <w:rPr>
          <w:szCs w:val="24"/>
        </w:rPr>
      </w:pPr>
      <w:r>
        <w:rPr>
          <w:szCs w:val="24"/>
        </w:rPr>
        <w:t>odpady zielone i ulegające biodegradacji zebrane selektywnie – kierowane do procesów biologicznego przetwarzania odpadów,</w:t>
      </w:r>
    </w:p>
    <w:p>
      <w:pPr>
        <w:pStyle w:val="Normal"/>
        <w:numPr>
          <w:ilvl w:val="0"/>
          <w:numId w:val="25"/>
        </w:numPr>
        <w:rPr>
          <w:szCs w:val="24"/>
        </w:rPr>
      </w:pPr>
      <w:r>
        <w:rPr>
          <w:szCs w:val="24"/>
        </w:rPr>
        <w:t>odpady niebezpieczne – kierowane do specjalistycznych zakładów ich przeróbki,</w:t>
      </w:r>
    </w:p>
    <w:p>
      <w:pPr>
        <w:pStyle w:val="Normal"/>
        <w:numPr>
          <w:ilvl w:val="0"/>
          <w:numId w:val="25"/>
        </w:numPr>
        <w:rPr>
          <w:szCs w:val="24"/>
        </w:rPr>
      </w:pPr>
      <w:r>
        <w:rPr>
          <w:szCs w:val="24"/>
        </w:rPr>
        <w:t xml:space="preserve">odpady poremontowe – kierowane do procesów odzysku, </w:t>
      </w:r>
    </w:p>
    <w:p>
      <w:pPr>
        <w:pStyle w:val="Normal"/>
        <w:numPr>
          <w:ilvl w:val="0"/>
          <w:numId w:val="24"/>
        </w:numPr>
        <w:ind w:left="709" w:hanging="312"/>
        <w:rPr>
          <w:szCs w:val="24"/>
        </w:rPr>
      </w:pPr>
      <w:r>
        <w:rPr>
          <w:szCs w:val="24"/>
        </w:rPr>
        <w:t>Termiczne przetwarzanie odpadów – termicznemu przetwarzaniu będą poddawane wyłącznie odpady pozostałe po selektywnym zbieraniu, czyli po wybraniu z nich najbardziej wartościowych odpadów posiadających wartość materiałową lub tzw. odpadów problemowych tj. np. odpady wielkogabarytowe, niebezpieczne ze strumienia odpadów komunalnych. Dlatego zostały one nazwane jako „frakcja resztkowa”. Dzięki selektywnemu zbieraniu i postępowaniu zgodnie z hierarchią postępowania z odpadami, w skład frakcji resztkowej z odpadów komunalnych będą wchodziły głównie odpady, które będą miały wartość energetyczną powyżej 6 MJ/kg suchej masy.</w:t>
      </w:r>
    </w:p>
    <w:p>
      <w:pPr>
        <w:pStyle w:val="Normal"/>
        <w:rPr>
          <w:szCs w:val="24"/>
        </w:rPr>
      </w:pPr>
      <w:r>
        <w:rPr>
          <w:szCs w:val="24"/>
        </w:rPr>
        <w:t>Do termicznego przekształcania odpadów w planowanej instalacji będą przyjmowane wyłącznie następujące rodzaje odpadów wyszczególnione w poniższej tabeli.</w:t>
      </w:r>
    </w:p>
    <w:p>
      <w:pPr>
        <w:pStyle w:val="Normal"/>
        <w:rPr>
          <w:szCs w:val="24"/>
        </w:rPr>
      </w:pPr>
      <w:r>
        <w:rPr>
          <w:szCs w:val="24"/>
        </w:rPr>
      </w:r>
    </w:p>
    <w:p>
      <w:pPr>
        <w:pStyle w:val="Caption"/>
        <w:keepNext/>
        <w:jc w:val="left"/>
        <w:rPr/>
      </w:pPr>
      <w:r>
        <w:rPr/>
        <w:t xml:space="preserve">Tabela </w:t>
      </w:r>
      <w:r>
        <w:rPr/>
        <w:fldChar w:fldCharType="begin"/>
      </w:r>
      <w:r>
        <w:instrText> SEQ Tabela \* ARABIC </w:instrText>
      </w:r>
      <w:r>
        <w:fldChar w:fldCharType="separate"/>
      </w:r>
      <w:r>
        <w:t>1</w:t>
      </w:r>
      <w:r>
        <w:fldChar w:fldCharType="end"/>
      </w:r>
      <w:r>
        <w:rPr/>
        <w:t>.</w:t>
      </w:r>
      <w:r>
        <w:rPr>
          <w:b w:val="false"/>
        </w:rPr>
        <w:t xml:space="preserve"> Rodzaje odpadów przewidzianych do termicznego przekształcania</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566"/>
        <w:gridCol w:w="1844"/>
        <w:gridCol w:w="6946"/>
      </w:tblGrid>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rPr>
            </w:pPr>
            <w:r>
              <w:rPr>
                <w:rFonts w:cs="Arial" w:ascii="Arial" w:hAnsi="Arial"/>
                <w:b/>
                <w:color w:val="00000A"/>
                <w:sz w:val="18"/>
              </w:rPr>
              <w:t>Lp.</w:t>
            </w:r>
          </w:p>
        </w:tc>
        <w:tc>
          <w:tcPr>
            <w:tcW w:w="1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rPr>
            </w:pPr>
            <w:r>
              <w:rPr>
                <w:rFonts w:cs="Arial" w:ascii="Arial" w:hAnsi="Arial"/>
                <w:b/>
                <w:color w:val="00000A"/>
                <w:sz w:val="18"/>
              </w:rPr>
              <w:t>Kod odpadu</w:t>
            </w:r>
          </w:p>
        </w:tc>
        <w:tc>
          <w:tcPr>
            <w:tcW w:w="69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rPr>
            </w:pPr>
            <w:r>
              <w:rPr>
                <w:rFonts w:cs="Arial" w:ascii="Arial" w:hAnsi="Arial"/>
                <w:b/>
                <w:color w:val="00000A"/>
                <w:sz w:val="18"/>
              </w:rPr>
              <w:t>Rodzaj odpadu</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26"/>
              </w:numPr>
              <w:spacing w:before="40" w:after="40"/>
              <w:ind w:left="0" w:hanging="0"/>
              <w:rPr>
                <w:rFonts w:ascii="Arial" w:hAnsi="Arial" w:cs="Arial"/>
                <w:color w:val="00000A"/>
                <w:sz w:val="18"/>
              </w:rPr>
            </w:pPr>
            <w:r>
              <w:rPr>
                <w:rFonts w:cs="Arial" w:ascii="Arial" w:hAnsi="Arial"/>
                <w:color w:val="00000A"/>
                <w:sz w:val="18"/>
              </w:rPr>
            </w:r>
          </w:p>
        </w:tc>
        <w:tc>
          <w:tcPr>
            <w:tcW w:w="1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02 01 03</w:t>
            </w:r>
          </w:p>
        </w:tc>
        <w:tc>
          <w:tcPr>
            <w:tcW w:w="69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rPr>
            </w:pPr>
            <w:r>
              <w:rPr>
                <w:rFonts w:cs="Arial" w:ascii="Arial" w:hAnsi="Arial"/>
                <w:color w:val="00000A"/>
                <w:sz w:val="18"/>
              </w:rPr>
              <w:t>Odpadowa masa roślinna</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26"/>
              </w:numPr>
              <w:spacing w:before="40" w:after="40"/>
              <w:ind w:left="0" w:hanging="0"/>
              <w:rPr>
                <w:rFonts w:ascii="Arial" w:hAnsi="Arial" w:cs="Arial"/>
                <w:color w:val="00000A"/>
                <w:sz w:val="18"/>
              </w:rPr>
            </w:pPr>
            <w:r>
              <w:rPr>
                <w:rFonts w:cs="Arial" w:ascii="Arial" w:hAnsi="Arial"/>
                <w:color w:val="00000A"/>
                <w:sz w:val="18"/>
              </w:rPr>
            </w:r>
          </w:p>
        </w:tc>
        <w:tc>
          <w:tcPr>
            <w:tcW w:w="1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02 01 07</w:t>
            </w:r>
          </w:p>
        </w:tc>
        <w:tc>
          <w:tcPr>
            <w:tcW w:w="69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rPr>
            </w:pPr>
            <w:r>
              <w:rPr>
                <w:rFonts w:cs="Arial" w:ascii="Arial" w:hAnsi="Arial"/>
                <w:color w:val="00000A"/>
                <w:sz w:val="18"/>
              </w:rPr>
              <w:t>Odpady z gospodarki leśnej</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26"/>
              </w:numPr>
              <w:spacing w:before="40" w:after="40"/>
              <w:ind w:left="0" w:hanging="0"/>
              <w:rPr>
                <w:rFonts w:ascii="Arial" w:hAnsi="Arial" w:cs="Arial"/>
                <w:color w:val="00000A"/>
                <w:sz w:val="18"/>
              </w:rPr>
            </w:pPr>
            <w:r>
              <w:rPr>
                <w:rFonts w:cs="Arial" w:ascii="Arial" w:hAnsi="Arial"/>
                <w:color w:val="00000A"/>
                <w:sz w:val="18"/>
              </w:rPr>
            </w:r>
          </w:p>
        </w:tc>
        <w:tc>
          <w:tcPr>
            <w:tcW w:w="1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19 12 10</w:t>
            </w:r>
          </w:p>
        </w:tc>
        <w:tc>
          <w:tcPr>
            <w:tcW w:w="69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rPr>
            </w:pPr>
            <w:r>
              <w:rPr>
                <w:rFonts w:cs="Arial" w:ascii="Arial" w:hAnsi="Arial"/>
                <w:color w:val="00000A"/>
                <w:sz w:val="18"/>
              </w:rPr>
              <w:t>Odpady palne (paliwo alternatywne)</w:t>
            </w:r>
          </w:p>
        </w:tc>
      </w:tr>
    </w:tbl>
    <w:p>
      <w:pPr>
        <w:pStyle w:val="Normal"/>
        <w:spacing w:lineRule="auto" w:line="360"/>
        <w:rPr/>
      </w:pPr>
      <w:r>
        <w:rPr/>
      </w:r>
    </w:p>
    <w:p>
      <w:pPr>
        <w:pStyle w:val="Normal"/>
        <w:rPr/>
      </w:pPr>
      <w:r>
        <w:rPr/>
        <w:t>Głównym dostawcą paliwa alternatywnego będzie Spółka Beskid Żywiec Sp. z o.o. Paliwo alternatywne są to wysegregowane i rozdrobnione odpady palne, o jednorodnym stopniu wymieszania, powstałe z odpadów innych niż niebezpieczne, z udziałem lub bez udziału paliwa stałego, ciekłego lub biomasy, które w wyniku przekształcenia termicznego nie powodują przekroczenia poziomów emisji określonych w Rozporządzeniu Ministra Środowiska w sprawie standardów emisyjnych z instalacji odnoszących się do procesu współspalania odpadów. Paliwo alternatywne jest odpadem o kodzie 19 12 10, a więc powstającym w procesie przetwarzania odpadów.</w:t>
      </w:r>
    </w:p>
    <w:p>
      <w:pPr>
        <w:pStyle w:val="Normal"/>
        <w:rPr/>
      </w:pPr>
      <w:r>
        <w:rPr/>
        <w:t xml:space="preserve">Zgodnie z posiadanym pozwoleniem zintegrowanym Spółka Beskid Żywiec Sp. z o.o. może w ciągu roku wytworzyć, w związku z eksploatacją instalacji do przetwarzania odpadów komunalnych, do 6000 Mg odpadów paliwa alternatywnego o kodzie 19 12 10. Zgodnie ze zbiorczym zestawieniem danych o odpadach za 2017 r. Spółka wytworzyła 1825,411 Mg RDF, a także poddała odzyskowi w instalacjach 16701,652 Mg odpadów komunalnych </w:t>
        <w:br/>
        <w:t xml:space="preserve">z grupy 20 oraz 3895,573 Mg odpadów nie będących odpadami komunalnymi z grupy 20, </w:t>
        <w:br/>
        <w:t xml:space="preserve">a mogącymi zostać poddanych procesom termicznego przetwarzania (w tym odpady opakowaniowe). Oprócz paliwa alternatywnego znaczną część odpadów powstających w wyniku eksploatacji instalacji do przetwarzania odpadów stanowią odpady balastowe z sortowania odpadów (11881,820 Mg odpadów o kodzie 19 12 12), oraz odpady z procesu kompostowania bioodpadów (5515,762 Mg odpadów o kodzie 19 05 99 oraz 1413,360 Mg kompostu niespełniającego wymagań o kodzie 19 05 03). Z sortowania odpadów komunalnych powstaje także 999,265Mg odpadów opakowaniowych z papieru i tektury, 185,168 opakowań z tworzyw sztucznych, 185,168 Mg opakowań z metali, 82,377 opakowań wielomateriałowych oraz 1888,860 Mg opakowań ze szkła. </w:t>
      </w:r>
    </w:p>
    <w:p>
      <w:pPr>
        <w:pStyle w:val="Normal"/>
        <w:rPr/>
      </w:pPr>
      <w:r>
        <w:rPr/>
        <w:t>Mając na uwadze dużą ilość odpadów „balastowych” i odpadów palnych o kaloryczności powyżej 6 MJ/kg, że instalacja Spółki Beskid Żywiec Sp. z o.o. posiada potencjał do wytwarzania większej ilości paliwa alternatywnego, niż w chwili obecnej.</w:t>
      </w:r>
    </w:p>
    <w:p>
      <w:pPr>
        <w:pStyle w:val="Normal"/>
        <w:rPr/>
      </w:pPr>
      <w:r>
        <w:rPr/>
        <w:t>Na podstawie wyliczeń, autorzy opracowania widzą konieczność dostosowania mocy produkcyjnych RDF w firmie Beskid do skali planowanej instalacji wraz z uzyskaniem koniecznych pozwoleń w tym zakresie.</w:t>
      </w:r>
    </w:p>
    <w:p>
      <w:pPr>
        <w:pStyle w:val="Normal"/>
        <w:rPr/>
      </w:pPr>
      <w:r>
        <w:rPr/>
      </w:r>
    </w:p>
    <w:p>
      <w:pPr>
        <w:pStyle w:val="Nagwek2"/>
        <w:numPr>
          <w:ilvl w:val="1"/>
          <w:numId w:val="2"/>
        </w:numPr>
        <w:ind w:hanging="578"/>
        <w:rPr/>
      </w:pPr>
      <w:bookmarkStart w:id="20" w:name="_Toc518331283"/>
      <w:r>
        <w:rPr/>
        <w:t>Charakterystyka technologii – instalacja termicznego przekształcania odpadów</w:t>
      </w:r>
      <w:bookmarkEnd w:id="20"/>
      <w:r>
        <w:rPr/>
        <w:t xml:space="preserve"> </w:t>
      </w:r>
    </w:p>
    <w:p>
      <w:pPr>
        <w:pStyle w:val="Nagwek3"/>
        <w:numPr>
          <w:ilvl w:val="2"/>
          <w:numId w:val="2"/>
        </w:numPr>
        <w:ind w:hanging="851"/>
        <w:rPr/>
      </w:pPr>
      <w:bookmarkStart w:id="21" w:name="_Toc518331284"/>
      <w:r>
        <w:rPr/>
        <w:t>Rozwiązania technologiczne i użytkowe</w:t>
      </w:r>
      <w:bookmarkEnd w:id="21"/>
      <w:r>
        <w:rPr/>
        <w:t xml:space="preserve"> </w:t>
      </w:r>
    </w:p>
    <w:p>
      <w:pPr>
        <w:pStyle w:val="Normal"/>
        <w:rPr>
          <w:szCs w:val="24"/>
        </w:rPr>
      </w:pPr>
      <w:r>
        <w:rPr>
          <w:szCs w:val="24"/>
        </w:rPr>
        <w:t>W ramach przedsięwzięcia planuje się montaż instalacji ciepłowniczej na biomasę /paliwo alternatywne RDF o łącznej mocy użytecznej 5 MW. Instalacja składać się będzie z dwóch jednakowych, równolegle pracujących linii technologicznych po 2,5 MW mocy użytecznej każda.</w:t>
      </w:r>
    </w:p>
    <w:p>
      <w:pPr>
        <w:pStyle w:val="Normal"/>
        <w:rPr>
          <w:szCs w:val="24"/>
        </w:rPr>
      </w:pPr>
      <w:r>
        <w:rPr>
          <w:szCs w:val="24"/>
        </w:rPr>
        <w:t>Najważniejsze rozwiązania technologiczne planowanego przedsięwzięcia stanowią:</w:t>
      </w:r>
    </w:p>
    <w:p>
      <w:pPr>
        <w:pStyle w:val="Normal"/>
        <w:numPr>
          <w:ilvl w:val="0"/>
          <w:numId w:val="35"/>
        </w:numPr>
        <w:ind w:left="709" w:hanging="283"/>
        <w:rPr>
          <w:szCs w:val="24"/>
        </w:rPr>
      </w:pPr>
      <w:r>
        <w:rPr>
          <w:szCs w:val="24"/>
        </w:rPr>
        <w:t>piec rusztowy, którego konstrukcja sprawdziła się w zakładach termicznego przekształcania odpadów komunalnych na całym świecie,</w:t>
      </w:r>
    </w:p>
    <w:p>
      <w:pPr>
        <w:pStyle w:val="Normal"/>
        <w:numPr>
          <w:ilvl w:val="0"/>
          <w:numId w:val="35"/>
        </w:numPr>
        <w:ind w:left="709" w:hanging="283"/>
        <w:rPr>
          <w:szCs w:val="24"/>
        </w:rPr>
      </w:pPr>
      <w:r>
        <w:rPr>
          <w:szCs w:val="24"/>
        </w:rPr>
        <w:t>piec zintegrowany z kotłem odzysknicowym (odzyskującym energię ciepną),</w:t>
      </w:r>
    </w:p>
    <w:p>
      <w:pPr>
        <w:pStyle w:val="Normal"/>
        <w:numPr>
          <w:ilvl w:val="0"/>
          <w:numId w:val="35"/>
        </w:numPr>
        <w:ind w:left="709" w:hanging="283"/>
        <w:rPr>
          <w:szCs w:val="24"/>
        </w:rPr>
      </w:pPr>
      <w:r>
        <w:rPr>
          <w:szCs w:val="24"/>
        </w:rPr>
        <w:t xml:space="preserve">optymalny odzysk energii zawartej w odpadach, zapewniający możliwość zasilania </w:t>
        <w:br/>
        <w:t>w ciepło zakładu przemysłowego i miejskiej sieci ciepłowniczej,</w:t>
      </w:r>
    </w:p>
    <w:p>
      <w:pPr>
        <w:pStyle w:val="Normal"/>
        <w:numPr>
          <w:ilvl w:val="0"/>
          <w:numId w:val="35"/>
        </w:numPr>
        <w:ind w:left="709" w:hanging="283"/>
        <w:rPr>
          <w:szCs w:val="24"/>
        </w:rPr>
      </w:pPr>
      <w:r>
        <w:rPr>
          <w:szCs w:val="24"/>
        </w:rPr>
        <w:t xml:space="preserve">oczyszczanie spalin z efektywnym systemem, spełniającym najbardziej rygorystyczne wymagania emisyjne oraz pół-suchym systemem oczyszczania spalin w celu redukcji kwaśnych zanieczyszczeń, pyłów, metali ciężkich oraz dioksyn i furanów. </w:t>
      </w:r>
    </w:p>
    <w:p>
      <w:pPr>
        <w:pStyle w:val="Normal"/>
        <w:rPr>
          <w:szCs w:val="24"/>
        </w:rPr>
      </w:pPr>
      <w:r>
        <w:rPr>
          <w:szCs w:val="24"/>
        </w:rPr>
        <w:t xml:space="preserve">W skład każdej linii technologicznej wchodzą następujące główne zespoły urządzeń </w:t>
        <w:br/>
        <w:t xml:space="preserve">i urządzenia: </w:t>
      </w:r>
    </w:p>
    <w:p>
      <w:pPr>
        <w:pStyle w:val="Normal"/>
        <w:rPr>
          <w:szCs w:val="24"/>
        </w:rPr>
      </w:pPr>
      <w:r>
        <w:rPr>
          <w:szCs w:val="24"/>
        </w:rPr>
        <w:t>1)</w:t>
        <w:tab/>
        <w:t>system podawania paliwa,</w:t>
      </w:r>
    </w:p>
    <w:p>
      <w:pPr>
        <w:pStyle w:val="Normal"/>
        <w:rPr>
          <w:szCs w:val="24"/>
        </w:rPr>
      </w:pPr>
      <w:r>
        <w:rPr>
          <w:szCs w:val="24"/>
        </w:rPr>
        <w:t>2)</w:t>
        <w:tab/>
        <w:t>piec rusztowy,</w:t>
      </w:r>
    </w:p>
    <w:p>
      <w:pPr>
        <w:pStyle w:val="Normal"/>
        <w:rPr>
          <w:szCs w:val="24"/>
        </w:rPr>
      </w:pPr>
      <w:r>
        <w:rPr>
          <w:szCs w:val="24"/>
        </w:rPr>
        <w:t>3)</w:t>
        <w:tab/>
        <w:t>emitor awaryjny,</w:t>
      </w:r>
    </w:p>
    <w:p>
      <w:pPr>
        <w:pStyle w:val="Normal"/>
        <w:rPr>
          <w:szCs w:val="24"/>
        </w:rPr>
      </w:pPr>
      <w:r>
        <w:rPr>
          <w:szCs w:val="24"/>
        </w:rPr>
        <w:t>4)</w:t>
        <w:tab/>
        <w:t>system wygarniania popiołu,</w:t>
      </w:r>
    </w:p>
    <w:p>
      <w:pPr>
        <w:pStyle w:val="Normal"/>
        <w:rPr>
          <w:szCs w:val="24"/>
        </w:rPr>
      </w:pPr>
      <w:r>
        <w:rPr>
          <w:szCs w:val="24"/>
        </w:rPr>
        <w:t>5)</w:t>
        <w:tab/>
        <w:t>kocioł odzysknicowy,</w:t>
      </w:r>
    </w:p>
    <w:p>
      <w:pPr>
        <w:pStyle w:val="Normal"/>
        <w:rPr>
          <w:szCs w:val="24"/>
        </w:rPr>
      </w:pPr>
      <w:r>
        <w:rPr>
          <w:szCs w:val="24"/>
        </w:rPr>
        <w:t>6)</w:t>
        <w:tab/>
        <w:t>system dozowania sorbentów,</w:t>
      </w:r>
    </w:p>
    <w:p>
      <w:pPr>
        <w:pStyle w:val="Normal"/>
        <w:rPr>
          <w:szCs w:val="24"/>
        </w:rPr>
      </w:pPr>
      <w:r>
        <w:rPr>
          <w:szCs w:val="24"/>
        </w:rPr>
        <w:t>7)</w:t>
        <w:tab/>
        <w:t>filtry workowe,</w:t>
      </w:r>
    </w:p>
    <w:p>
      <w:pPr>
        <w:pStyle w:val="Normal"/>
        <w:rPr>
          <w:szCs w:val="24"/>
        </w:rPr>
      </w:pPr>
      <w:r>
        <w:rPr>
          <w:szCs w:val="24"/>
        </w:rPr>
        <w:t>8)</w:t>
        <w:tab/>
        <w:t>wentylator wyciągowy,</w:t>
      </w:r>
    </w:p>
    <w:p>
      <w:pPr>
        <w:pStyle w:val="Normal"/>
        <w:rPr>
          <w:szCs w:val="24"/>
        </w:rPr>
      </w:pPr>
      <w:r>
        <w:rPr>
          <w:szCs w:val="24"/>
        </w:rPr>
        <w:t>9)</w:t>
        <w:tab/>
        <w:t>emitor.</w:t>
      </w:r>
    </w:p>
    <w:p>
      <w:pPr>
        <w:pStyle w:val="Normal"/>
        <w:rPr>
          <w:szCs w:val="24"/>
        </w:rPr>
      </w:pPr>
      <w:r>
        <w:rPr>
          <w:szCs w:val="24"/>
        </w:rPr>
        <w:t>Paliwo alternatywne i odpady palne dostarczane będą do zakładu transportem samochodowym w naczepach o pojemności do 60 m</w:t>
      </w:r>
      <w:r>
        <w:rPr>
          <w:szCs w:val="24"/>
          <w:vertAlign w:val="superscript"/>
        </w:rPr>
        <w:t>3</w:t>
      </w:r>
      <w:r>
        <w:rPr>
          <w:szCs w:val="24"/>
        </w:rPr>
        <w:t>. Naczepa zbudowana jest z paneli aluminiowych, podnoszonego/składanego/rolowanego na bok dachu i systemu ruchomej podłogi. Powyższe rozwiązanie konstrukcyjne znacząco ułatwia transport i rozładunek paliwa alternatywnego w stosunku do tradycyjnych metod transportowania i rozładunku. System ruchomej podłogi nie wymaga użycia rampy do załadunków i rozładunków. Naczepa podczas transportu będzie zabezpieczona plandeką zabezpieczającą przed potencjalnym wydostaniem się odpadów. Rozładunek paliwa odbywał się będzie do składu paliwa w postaci leja zasypowego, skąd za pomocą zamkniętego podajnika taśmowego będzie ono podawane do dozownika paliwa pieca rusztowego, zaopatrzonego w lej zasypowy.</w:t>
      </w:r>
    </w:p>
    <w:p>
      <w:pPr>
        <w:pStyle w:val="Normal"/>
        <w:rPr>
          <w:szCs w:val="24"/>
        </w:rPr>
      </w:pPr>
      <w:r>
        <w:rPr>
          <w:szCs w:val="24"/>
        </w:rPr>
        <w:t>Nie przewiduje się magazynowania paliwa. Całość dostarczanego paliwa będzie na bieżąco podawana do leja zasypowego. Cała operacja rozładunku będzie się odbywać w pomieszczeniu, poprzez rampę rozładowczą. Powietrze z części budynku, gdzie będzie następowało rozładowanie paliwa, będzie zasysane do hali kotłowni, poprzez wentylator wyciągowy. W ten sposób w strefie rozładunku będzie panowało lekkie podciśnienie, a w najgorszym razie będzie następował wymuszony ruch powietrza do wewnątrz budynku. To rozwiązanie zapewni całkowite wyeliminowanie uciążliwości zapachowej, która mogłaby towarzyszyć rozładunkowi paliwa alternatywnego.</w:t>
      </w:r>
    </w:p>
    <w:p>
      <w:pPr>
        <w:pStyle w:val="Normal"/>
        <w:rPr>
          <w:szCs w:val="24"/>
        </w:rPr>
      </w:pPr>
      <w:r>
        <w:rPr>
          <w:szCs w:val="24"/>
        </w:rPr>
        <w:t xml:space="preserve">Podawanie paliwa z leja zasypowego do pieca rusztowego odbywać się będzie za pomocą systemu zasuw, które zapewniają szczelność systemu podawania paliwa i zabezpieczają go przed niekontrolowanym dopływem powietrza i samozapłonem. Paliwo z leja zasypowego po przejściu przez system zasuw podawane będzie w zaprogramowanym cyklu czasowym za pomocą podajnika tłokowego na ruchomy ruszt, znajdujący się w komorze spalania pieca rusztowego. </w:t>
      </w:r>
    </w:p>
    <w:p>
      <w:pPr>
        <w:pStyle w:val="Normal"/>
        <w:rPr>
          <w:szCs w:val="24"/>
        </w:rPr>
      </w:pPr>
      <w:r>
        <w:rPr>
          <w:szCs w:val="24"/>
        </w:rPr>
        <w:t>Zastosowany piec  rusztowy wykonany  jest z żaroodpornych elementów ceramicznych. Piec rusztowy zaopatrzony będzie w palnik olejowy, który wykorzystuje się  do procesu rozgrzewania oraz wygaszania pieca. Po rozgrzaniu pieca rusztowego za pomocą palnika olejowego, palnik jest usuwany z pieca i proces spalania paliwa odbywa się w sposób auto-termiczny. W przypadku spadku temperatury spalania paliwa w komorze spalania i komorach dopalania pieca rusztowego istnieje możliwość ponownego podłączenia i uruchomienia palnika olejowego, który w takiej sytuacji zapewni podtrzymanie parametrów spalania odpadów zgodnie z wymogami w zakresie temperatury spalania.</w:t>
      </w:r>
    </w:p>
    <w:p>
      <w:pPr>
        <w:pStyle w:val="Normal"/>
        <w:rPr>
          <w:szCs w:val="24"/>
        </w:rPr>
      </w:pPr>
      <w:r>
        <w:rPr>
          <w:szCs w:val="24"/>
        </w:rPr>
        <w:t xml:space="preserve">Spalanie paliwa w komorze spalania pieca rusztowego odbywa się na ruchomym ruszcie z ograniczonym dostępem tlenu, którego podawanie jest kontrolowane za pomocą systemu przepustnic. Powietrze do przepustnic komory spalania pieca rusztowego podawane jest przez czerpnię powietrza zamontowaną w magazynie paliwa (strefie rozładunku), co dodatkowo ogranicza powstawanie odorów wpływając na występowanie lekkiego podciśnienia w tej części zakładu. </w:t>
      </w:r>
    </w:p>
    <w:p>
      <w:pPr>
        <w:pStyle w:val="Normal"/>
        <w:rPr>
          <w:szCs w:val="24"/>
        </w:rPr>
      </w:pPr>
      <w:r>
        <w:rPr>
          <w:szCs w:val="24"/>
        </w:rPr>
        <w:t xml:space="preserve">W wyniku procesu spalania paliwa z ograniczonym dostępem tlenu powstaje mieszanina gazów palnych, których  proces dopalania odbywał się będzie w kolejnych komorach dopalania pieca rusztowego. Gazy lotne powstałe w procesie spalania paliwa z ograniczonym dostępem tlenu są przetrzymywane w komorach dopalania pieca rusztowego przez wymagany czas dwóch sekund w temperaturze co najmniej 850°C, przy odpadach zawierających do 1% chloru lub w temperaturze co najmniej 1100°C przy odpadach zawierających powyżej 1% chloru. Przetrzymanie gazów spalinowych w komorach dopalania pozwala na całkowite dopalenie lotnych związków organicznych i na dokonanie rozkładu węglowodorów pierścieniowych, które pod wpływem wysokiej temperatury i czasu retencji gazów rozkładają się na nieszkodliwe węglowodory proste ulegające procesowi dopalania. Powyższe założenie dotyczące temperatury dopalania odnoszą się do warunków testowych i spełnienia minimalnych wymagań ustawowych. Z informacji uzyskanej od partnera technologicznego Inwestora, który będzie dostarczał instalację uzyskano informację, że ze względu na konieczność zachowania najwyższych możliwych standardów, w przypadku planowanego przedsięwzięcia projekt technologiczny zakłada w komorach dopalania temperaturę co najmniej 1100°C. </w:t>
      </w:r>
    </w:p>
    <w:p>
      <w:pPr>
        <w:pStyle w:val="Normal"/>
        <w:rPr>
          <w:szCs w:val="24"/>
        </w:rPr>
      </w:pPr>
      <w:r>
        <w:rPr>
          <w:szCs w:val="24"/>
        </w:rPr>
        <w:t xml:space="preserve">Żużel i popiół z procesu spalania spada z rusztu do mokrego odżużlacza znajdującego się bezpośrednio pod rusztem, skąd jest on wygarniany za pomocą wygarniacza zgrzebłowego do kontenera na zewnątrz hali. W przypadku stosowania paliwa alternatywnego  powstaje popiół </w:t>
        <w:br/>
        <w:t xml:space="preserve">w ilości do 10% suchej masy wejściowej paliwa. Powstający żużel i popiół będzie wywożony </w:t>
        <w:br/>
        <w:t xml:space="preserve">w zamkniętych kontenerach transportem samochodowym. </w:t>
      </w:r>
    </w:p>
    <w:p>
      <w:pPr>
        <w:pStyle w:val="Normal"/>
        <w:rPr>
          <w:szCs w:val="24"/>
        </w:rPr>
      </w:pPr>
      <w:r>
        <w:rPr>
          <w:szCs w:val="24"/>
        </w:rPr>
        <w:t>Gazy spalinowe po dopaleniu w komorach dopalania będą kierowane za pośrednictwem czopucha do kotła odzysknicowego. Czopuch łączący piec rusztowy z kotłem odzysknicowym zostanie wyposażony w wyrzutnię  awaryjną, która będzie się automatycznie otwierać w przypadku awarii systemu zasilania Instalacji lub w przypadku konieczności odcięcia dopływu spalin do kotła odzysknicowego. Skierowanie gazów spalinowych do wyrzutni awaryjnej przez krótki okres czasu z równoczesnym wstrzymaniem podawania do pieca rusztowego paliwa daje możliwość natychmiastowego zatrzymania pracy pieca w przypadku awarii.</w:t>
      </w:r>
    </w:p>
    <w:p>
      <w:pPr>
        <w:pStyle w:val="Normal"/>
        <w:rPr>
          <w:szCs w:val="24"/>
        </w:rPr>
      </w:pPr>
      <w:r>
        <w:rPr>
          <w:szCs w:val="24"/>
        </w:rPr>
        <w:t xml:space="preserve">Kocioł odzysknicowy jest kotłem wodnym (istnieje możliwość techniczna zastosowania </w:t>
        <w:br/>
        <w:t xml:space="preserve">w przyszłości jako nośnika ciepła oleju termalnego), który składa się z kilku sekcji orurowania, na powierzchni którego odbywa się proces wymiany ciepła pomiędzy spalinami, a nośnikiem ciepła w postaci gorącej wody energetycznej. Przepływ spalin od ich powstania w piecu rusztowym poprzez ich przejście przez kocioł odzysknicowy reguluje wentylator główny wytwarzający w Instalacji podciśnienie. </w:t>
      </w:r>
    </w:p>
    <w:p>
      <w:pPr>
        <w:pStyle w:val="Normal"/>
        <w:rPr>
          <w:szCs w:val="24"/>
        </w:rPr>
      </w:pPr>
      <w:r>
        <w:rPr>
          <w:szCs w:val="24"/>
        </w:rPr>
        <w:t xml:space="preserve">Spaliny po przejściu przez kocioł odzysknicowy będą wtłaczane przez wentylator wyciągowy do systemu oczyszczania spalin pierwszego stopnia, gdzie po przejściu spalin przez zwężkę Venturiego będzie następował proces dozowania sorbentów w postaci wodorowęglanu sodu i węgla aktywnego, poprzedzający ich dalsze oczyszczanie. System oczyszczania spalin pierwszego stopnia będzie zaopatrzony w dwa silosy, z których podawane będą sorbenty tj. wodorowęglan sodu oraz węgiel aktywny. Każdy z silosów będzie wyposażonyw urządzenie wibracyjne zapobiegając zawieszaniu się sorbentu na ścianach silosu. Spaliny po podaniu do nich sorbentów będą przechodziły przez reaktor, który poprzez swoją długość i kształt rury odprowadzającej spaliny zapewnia proces prawidłowego mieszania sorbentu ze spalinami i zapewnia odpowiedni czas reakcji sorbentu i spalin. Silosy znajdują się w budynku kotłowni, a ewentualna niewielka emisja związana z ich załadunkiem będzie się odbywać wewnątrz. </w:t>
      </w:r>
    </w:p>
    <w:p>
      <w:pPr>
        <w:pStyle w:val="Normal"/>
        <w:rPr>
          <w:szCs w:val="24"/>
        </w:rPr>
      </w:pPr>
      <w:r>
        <w:rPr>
          <w:szCs w:val="24"/>
        </w:rPr>
        <w:t xml:space="preserve">Spaliny po przereagowaniu z sorbentami będą kierowane do filtra workowego nr 1. Filtr workowy pionowy składa się ze 160 worków wytrzymujących w szczycie temperatury do 270°C, znajdujących się w kilku sekcjach. Proces oczyszczania spalin odbywa się na tzw. placku filtracyjnym, jaki tworzy się na powierzchni każdego z worków, gdzie osadza się mieszanina pyłów i sorbentu zawartego w gazach spalinowych napływających z reaktora. Pył z procesu oczyszczania spalin jest strzepywany z worków za pomocą sprężonego powietrza. Pył z procesu oczyszczania spalin opada grawitacyjnie na dno filtra, skąd jest usuwany za pomocą wygarniacza ślimakowego, który w systemie zamkniętym podaje go za pośrednictwem podajnika celkowego do zamkniętych worków typu big bag. </w:t>
      </w:r>
    </w:p>
    <w:p>
      <w:pPr>
        <w:pStyle w:val="Normal"/>
        <w:rPr>
          <w:szCs w:val="24"/>
        </w:rPr>
      </w:pPr>
      <w:r>
        <w:rPr>
          <w:szCs w:val="24"/>
        </w:rPr>
        <w:t>Spaliny po przejściu przez filtr workowy nr 1 pierwszego stopnia oczyszczania spalin będą przechodziły na drugi stopnień oczyszczania spalin, w którym do spalin z silosu podawany będzie dodatkowy sorbent w postaci wodorowęglanu sodu. Spaliny po przejściu przez drugi reaktor, w którym następuje proces reakcji i zmieszania spalin z sorbentem,  przechodzą do filtra workowego nr 2, w którym będzie następował końcowy proces oczyszczania spalin. Zastosowanie drugiego stopnia oczyszczania spalin zapewnia Instalacji bufor bezpieczeństwa w przypadku nagłej zmiany składu gazów spalinowych podlegających oczyszczaniu i daje możliwość doczyszczenia spalin bez ryzyka przekroczenia norm emisyjnych.</w:t>
      </w:r>
    </w:p>
    <w:p>
      <w:pPr>
        <w:pStyle w:val="Normal"/>
        <w:spacing w:lineRule="auto" w:line="360"/>
        <w:rPr>
          <w:szCs w:val="24"/>
        </w:rPr>
      </w:pPr>
      <w:r>
        <w:rPr>
          <w:szCs w:val="24"/>
        </w:rPr>
      </w:r>
    </w:p>
    <w:tbl>
      <w:tblPr>
        <w:tblStyle w:val="Tabela-Siatka"/>
        <w:tblW w:w="9571" w:type="dxa"/>
        <w:jc w:val="left"/>
        <w:tblInd w:w="0" w:type="dxa"/>
        <w:tblCellMar>
          <w:top w:w="0" w:type="dxa"/>
          <w:left w:w="108" w:type="dxa"/>
          <w:bottom w:w="0" w:type="dxa"/>
          <w:right w:w="108" w:type="dxa"/>
        </w:tblCellMar>
        <w:tblLook w:firstRow="1" w:noVBand="1" w:lastRow="0" w:firstColumn="1" w:lastColumn="0" w:noHBand="0" w:val="04a0"/>
      </w:tblPr>
      <w:tblGrid>
        <w:gridCol w:w="4247"/>
        <w:gridCol w:w="5323"/>
      </w:tblGrid>
      <w:tr>
        <w:trPr/>
        <w:tc>
          <w:tcPr>
            <w:tcW w:w="4247" w:type="dxa"/>
            <w:tcBorders/>
            <w:shd w:fill="auto" w:val="clear"/>
            <w:tcMar>
              <w:left w:w="108" w:type="dxa"/>
            </w:tcMar>
          </w:tcPr>
          <w:p>
            <w:pPr>
              <w:pStyle w:val="Normal"/>
              <w:spacing w:lineRule="auto" w:line="360"/>
              <w:ind w:left="397" w:hanging="0"/>
              <w:rPr>
                <w:szCs w:val="24"/>
              </w:rPr>
            </w:pPr>
            <w:r>
              <w:rPr>
                <w:szCs w:val="24"/>
              </w:rPr>
            </w:r>
          </w:p>
          <w:p>
            <w:pPr>
              <w:pStyle w:val="Normal"/>
              <w:spacing w:lineRule="auto" w:line="360"/>
              <w:ind w:left="397" w:hanging="0"/>
              <w:rPr>
                <w:szCs w:val="24"/>
              </w:rPr>
            </w:pPr>
            <w:r>
              <w:rPr/>
              <w:drawing>
                <wp:inline distT="0" distB="0" distL="0" distR="0">
                  <wp:extent cx="1911350" cy="3013710"/>
                  <wp:effectExtent l="0" t="0" r="0" b="0"/>
                  <wp:docPr id="4" name="Obraz 6" descr="C:\Temporary Files\Filtry + wentylator + ko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6" descr="C:\Temporary Files\Filtry + wentylator + komin.jpg"/>
                          <pic:cNvPicPr>
                            <a:picLocks noChangeAspect="1" noChangeArrowheads="1"/>
                          </pic:cNvPicPr>
                        </pic:nvPicPr>
                        <pic:blipFill>
                          <a:blip r:embed="rId6"/>
                          <a:stretch>
                            <a:fillRect/>
                          </a:stretch>
                        </pic:blipFill>
                        <pic:spPr bwMode="auto">
                          <a:xfrm>
                            <a:off x="0" y="0"/>
                            <a:ext cx="1911350" cy="3013710"/>
                          </a:xfrm>
                          <a:prstGeom prst="rect">
                            <a:avLst/>
                          </a:prstGeom>
                        </pic:spPr>
                      </pic:pic>
                    </a:graphicData>
                  </a:graphic>
                </wp:inline>
              </w:drawing>
            </w:r>
          </w:p>
          <w:p>
            <w:pPr>
              <w:pStyle w:val="Normal"/>
              <w:spacing w:lineRule="auto" w:line="360"/>
              <w:ind w:left="397" w:hanging="0"/>
              <w:rPr>
                <w:szCs w:val="24"/>
              </w:rPr>
            </w:pPr>
            <w:r>
              <w:rPr>
                <w:szCs w:val="24"/>
              </w:rPr>
              <w:t>Przykładowy filtr workowy</w:t>
            </w:r>
          </w:p>
        </w:tc>
        <w:tc>
          <w:tcPr>
            <w:tcW w:w="5323" w:type="dxa"/>
            <w:tcBorders/>
            <w:shd w:fill="auto" w:val="clear"/>
            <w:tcMar>
              <w:left w:w="108" w:type="dxa"/>
            </w:tcMar>
          </w:tcPr>
          <w:p>
            <w:pPr>
              <w:pStyle w:val="Normal"/>
              <w:spacing w:lineRule="auto" w:line="360"/>
              <w:ind w:left="397" w:hanging="0"/>
              <w:rPr>
                <w:szCs w:val="24"/>
              </w:rPr>
            </w:pPr>
            <w:r>
              <w:rPr>
                <w:szCs w:val="24"/>
              </w:rPr>
            </w:r>
          </w:p>
          <w:p>
            <w:pPr>
              <w:pStyle w:val="Normal"/>
              <w:spacing w:lineRule="auto" w:line="360"/>
              <w:ind w:left="397" w:hanging="0"/>
              <w:rPr>
                <w:szCs w:val="24"/>
              </w:rPr>
            </w:pPr>
            <w:r>
              <w:rPr>
                <w:szCs w:val="24"/>
              </w:rPr>
            </w:r>
          </w:p>
          <w:p>
            <w:pPr>
              <w:pStyle w:val="Normal"/>
              <w:spacing w:lineRule="auto" w:line="360"/>
              <w:ind w:left="397" w:hanging="0"/>
              <w:rPr>
                <w:szCs w:val="24"/>
              </w:rPr>
            </w:pPr>
            <w:r>
              <w:rPr/>
              <w:drawing>
                <wp:inline distT="0" distB="635" distL="0" distR="635">
                  <wp:extent cx="2990215" cy="2647315"/>
                  <wp:effectExtent l="0" t="0" r="0" b="0"/>
                  <wp:docPr id="5" name="Obraz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1" descr=""/>
                          <pic:cNvPicPr>
                            <a:picLocks noChangeAspect="1" noChangeArrowheads="1"/>
                          </pic:cNvPicPr>
                        </pic:nvPicPr>
                        <pic:blipFill>
                          <a:blip r:embed="rId7"/>
                          <a:stretch>
                            <a:fillRect/>
                          </a:stretch>
                        </pic:blipFill>
                        <pic:spPr bwMode="auto">
                          <a:xfrm>
                            <a:off x="0" y="0"/>
                            <a:ext cx="2990215" cy="2647315"/>
                          </a:xfrm>
                          <a:prstGeom prst="rect">
                            <a:avLst/>
                          </a:prstGeom>
                        </pic:spPr>
                      </pic:pic>
                    </a:graphicData>
                  </a:graphic>
                </wp:inline>
              </w:drawing>
            </w:r>
          </w:p>
        </w:tc>
      </w:tr>
    </w:tbl>
    <w:p>
      <w:pPr>
        <w:pStyle w:val="Caption"/>
        <w:jc w:val="center"/>
        <w:rPr/>
      </w:pPr>
      <w:r>
        <w:rPr/>
        <w:t xml:space="preserve">Rysunek </w:t>
      </w:r>
      <w:r>
        <w:rPr/>
        <w:fldChar w:fldCharType="begin"/>
      </w:r>
      <w:r>
        <w:instrText> SEQ Rysunek \* ARABIC </w:instrText>
      </w:r>
      <w:r>
        <w:fldChar w:fldCharType="separate"/>
      </w:r>
      <w:r>
        <w:t>3</w:t>
      </w:r>
      <w:r>
        <w:fldChar w:fldCharType="end"/>
      </w:r>
      <w:r>
        <w:rPr/>
        <w:t xml:space="preserve">. </w:t>
      </w:r>
      <w:r>
        <w:rPr>
          <w:b w:val="false"/>
        </w:rPr>
        <w:t>Wygląd filtra workowego</w:t>
      </w:r>
      <w:r>
        <w:rPr/>
        <w:t xml:space="preserve"> </w:t>
      </w:r>
    </w:p>
    <w:p>
      <w:pPr>
        <w:pStyle w:val="Normal"/>
        <w:rPr>
          <w:szCs w:val="24"/>
        </w:rPr>
      </w:pPr>
      <w:r>
        <w:rPr>
          <w:szCs w:val="24"/>
        </w:rPr>
      </w:r>
    </w:p>
    <w:p>
      <w:pPr>
        <w:pStyle w:val="Normal"/>
        <w:rPr>
          <w:szCs w:val="24"/>
        </w:rPr>
      </w:pPr>
      <w:r>
        <w:rPr>
          <w:szCs w:val="24"/>
        </w:rPr>
        <w:t>Wywóz pyłów z oczyszczania spalin, które stanowią odpad niebezpieczny realizowany będzie transportem samochodowym w zamkniętych kontenerach, które odbierane będą przez zakłady zagospodarowania odpadów mające odpowiednie pozwolenia na przetwarzanie odpadów niebezpiecznych w celu ich stabilizacji.</w:t>
      </w:r>
    </w:p>
    <w:p>
      <w:pPr>
        <w:pStyle w:val="Normal"/>
        <w:rPr>
          <w:szCs w:val="24"/>
        </w:rPr>
      </w:pPr>
      <w:r>
        <w:rPr>
          <w:szCs w:val="24"/>
        </w:rPr>
        <w:t xml:space="preserve">Cała instalacja pracować będzie  w podciśnieniu, którego wysokość regulować będzie praca głównego wentylatora wyciągowego, zapewniającego  przepływ spalin począwszy od komory spalania pieca rusztowego, poprzez komory dopalania pieca, kocioł odzysknicowy, reaktor spalin i filtr workowy do emitora. Spaliny po oczyszczeniu kierowane będą za pośrednictwem głównego wentylatora wyciągowego, do emitora głównego. Na korpusie emitora zainstalowane zostaną króćce służące do montażu czujników monitoringu emisji, których zadaniem jest przesyłanie dane monitoringowych do pomieszczenia archiwizacji danych. </w:t>
      </w:r>
    </w:p>
    <w:p>
      <w:pPr>
        <w:pStyle w:val="Normal"/>
        <w:rPr>
          <w:szCs w:val="24"/>
        </w:rPr>
      </w:pPr>
      <w:r>
        <w:rPr>
          <w:szCs w:val="24"/>
        </w:rPr>
        <w:t xml:space="preserve">Zaprojektowano monitoring emisji spalin zgodnie z wymogami przepisów dotyczących sposobu pomiarów i standardów emisyjnych z instalacji spalających odpady. Zgodnie </w:t>
        <w:br/>
        <w:t>z obowiązującymi przepisami Monitoring ciągły planowanej instalacji obejmuje pomiar temperatury i ciśnienia spalin oraz stężenia  w spalinach: tlenu, tlenku węgla, tlenków azotu, dwutlenku siarki, chlorowodoru, fluorowodoru, lotnych związków organicznych oraz pyłu.</w:t>
      </w:r>
    </w:p>
    <w:p>
      <w:pPr>
        <w:pStyle w:val="Normal"/>
        <w:rPr>
          <w:szCs w:val="24"/>
        </w:rPr>
      </w:pPr>
      <w:r>
        <w:rPr>
          <w:szCs w:val="24"/>
        </w:rPr>
        <w:t>Praca instalacji sterowana będzie za pomocą automatyki, zainstalowanej we wnętrzu szaf sterowniczych, zlokalizowanych w oddzielnym, zamkniętym i klimatyzowanym pomieszczeniu, w celu zapobieżenia awarii automatyki (przegrzewaniu się systemu automatyki, ochrona przed zanieczyszczeniami z hali kotłowni). Zastosowana automatyka wyposażona będzie w moduł pełnej wizualizacji pracy urządzeń oraz procesu, umożliwiający ciągły, bieżący nadzór nad parametrami pracy Instalacji oraz właściwą reakcję obsługi na sygnalizowane odstępstwa od założonych parametrów pracy.</w:t>
      </w:r>
    </w:p>
    <w:p>
      <w:pPr>
        <w:pStyle w:val="Normal"/>
        <w:rPr>
          <w:szCs w:val="24"/>
        </w:rPr>
      </w:pPr>
      <w:r>
        <w:rPr>
          <w:szCs w:val="24"/>
        </w:rPr>
        <w:t xml:space="preserve">Ciepło powstające w Instalacji będzie  wykorzystane jako ciepła woda użytkowa do zasilania, w zależności od lokalnego zapotrzebowania, okolicznych zakładów przemysłowych wykorzystujących energię cieplną w procesach technologicznych i/lub miejskiej sieci ciepłowniczej. </w:t>
      </w:r>
    </w:p>
    <w:p>
      <w:pPr>
        <w:pStyle w:val="Normal"/>
        <w:rPr>
          <w:szCs w:val="24"/>
        </w:rPr>
      </w:pPr>
      <w:r>
        <w:rPr>
          <w:szCs w:val="24"/>
        </w:rPr>
        <w:t xml:space="preserve">Paliwo alternatywne wykorzystywane w Instalacji będzie miało niską zawartością siarki (do 0,5%) i chloru (od 0,5% do 1,5%). Badania zawartości chloru w odpadach pre-RDF wytwarzanych przez Beskid Żywiec Sp. z o.o. wskazują na zawartość chloru w przedziale od 0,5 do 1,5%. W przypadku dostarczania paliwa alternatywnego przez zewnętrznych dostawców, ze względu na konieczność utrzymania minimalnej zawartości siarki i chloru oraz zachowania innych parametrów paliwa tj. kaloryczność czy wilgotność konieczne będzie wprowadzenie systemu weryfikacji jakości dostarczanego paliwa RDF. W związku z tym przewiduje się obligatoryjne wprowadzenie procedury potwierdzania badaniami jakości dostarczanego paliwa. Procedura powinna także zakładać możliwość wyrywkowej weryfikacji wyników badań przez zewnętrzne akredytowane laboratorium. </w:t>
      </w:r>
    </w:p>
    <w:p>
      <w:pPr>
        <w:pStyle w:val="Normal"/>
        <w:rPr>
          <w:szCs w:val="24"/>
        </w:rPr>
      </w:pPr>
      <w:r>
        <w:rPr>
          <w:szCs w:val="24"/>
        </w:rPr>
        <w:t xml:space="preserve">Należy jednak zaznaczyć, że w świetle dostępnych danych źródłowych zachowanie wysokiej temperatury w komorze dopalania oraz zastosowanie wysokosprawnego systemu oczyszczania spalin, zapewni dotrzymywanie standardów jakościowych dotyczących zawartości niebezpiecznych składników pochodzących ze spalania związków chloru. </w:t>
      </w:r>
    </w:p>
    <w:p>
      <w:pPr>
        <w:pStyle w:val="Normal"/>
        <w:spacing w:lineRule="auto" w:line="360"/>
        <w:rPr>
          <w:szCs w:val="24"/>
        </w:rPr>
      </w:pPr>
      <w:r>
        <w:rPr>
          <w:szCs w:val="24"/>
        </w:rPr>
      </w:r>
    </w:p>
    <w:p>
      <w:pPr>
        <w:pStyle w:val="PlainText"/>
        <w:jc w:val="center"/>
        <w:rPr>
          <w:rFonts w:ascii="Times New Roman" w:hAnsi="Times New Roman" w:cs="Times New Roman"/>
          <w:sz w:val="24"/>
          <w:szCs w:val="24"/>
        </w:rPr>
      </w:pPr>
      <w:r>
        <w:rPr/>
        <w:drawing>
          <wp:inline distT="0" distB="0" distL="19050" distR="635">
            <wp:extent cx="5923915" cy="3402965"/>
            <wp:effectExtent l="0" t="0" r="0" b="0"/>
            <wp:docPr id="6" name="Obraz 3" descr="instal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3" descr="instalacja"/>
                    <pic:cNvPicPr>
                      <a:picLocks noChangeAspect="1" noChangeArrowheads="1"/>
                    </pic:cNvPicPr>
                  </pic:nvPicPr>
                  <pic:blipFill>
                    <a:blip r:embed="rId8"/>
                    <a:stretch>
                      <a:fillRect/>
                    </a:stretch>
                  </pic:blipFill>
                  <pic:spPr bwMode="auto">
                    <a:xfrm>
                      <a:off x="0" y="0"/>
                      <a:ext cx="5923915" cy="340296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4</w:t>
      </w:r>
      <w:r>
        <w:fldChar w:fldCharType="end"/>
      </w:r>
      <w:r>
        <w:rPr/>
        <w:t>.</w:t>
      </w:r>
      <w:r>
        <w:rPr>
          <w:bCs w:val="false"/>
          <w:i w:val="false"/>
          <w:szCs w:val="24"/>
        </w:rPr>
        <w:t xml:space="preserve"> </w:t>
      </w:r>
      <w:r>
        <w:rPr>
          <w:b w:val="false"/>
          <w:bCs w:val="false"/>
          <w:szCs w:val="24"/>
        </w:rPr>
        <w:t xml:space="preserve">Przykładowe rozmieszczenie urządzeń  instalacji ciepłowni na biomasę / RDF </w:t>
        <w:br/>
        <w:t>(źródło: dane Inwestora)</w:t>
      </w:r>
    </w:p>
    <w:p>
      <w:pPr>
        <w:pStyle w:val="Normal"/>
        <w:rPr>
          <w:szCs w:val="24"/>
        </w:rPr>
      </w:pPr>
      <w:r>
        <w:rPr>
          <w:szCs w:val="24"/>
        </w:rPr>
      </w:r>
    </w:p>
    <w:p>
      <w:pPr>
        <w:pStyle w:val="Normal"/>
        <w:rPr>
          <w:szCs w:val="24"/>
        </w:rPr>
      </w:pPr>
      <w:r>
        <w:rPr>
          <w:szCs w:val="24"/>
        </w:rPr>
        <w:t xml:space="preserve">W przypadku zaostrzenia się w stosunku do aktualnie obowiązujących norm emisyjnych dozwolonego poziomu emisji tlenków azotu, istnieje możliwość zastosowania w przyszłości </w:t>
        <w:br/>
        <w:t xml:space="preserve">w Instalacji systemu redukcji tlenków azotu poprzez dodanie zamkniętego systemu podawania do ostatniej komory dopalania pieca rusztowego związków amoniaku wiążących tlenki azotu lub zastosowania w Instalacji w ramach systemu oczyszczania spalin elektrofiltrów. </w:t>
      </w:r>
    </w:p>
    <w:p>
      <w:pPr>
        <w:pStyle w:val="Normal"/>
        <w:rPr>
          <w:szCs w:val="24"/>
        </w:rPr>
      </w:pPr>
      <w:r>
        <w:rPr>
          <w:szCs w:val="24"/>
        </w:rPr>
      </w:r>
    </w:p>
    <w:p>
      <w:pPr>
        <w:pStyle w:val="Nagwek3"/>
        <w:numPr>
          <w:ilvl w:val="2"/>
          <w:numId w:val="2"/>
        </w:numPr>
        <w:ind w:hanging="851"/>
        <w:rPr/>
      </w:pPr>
      <w:bookmarkStart w:id="22" w:name="_Toc518331285"/>
      <w:r>
        <w:rPr/>
        <w:t>Zakładane parametry techniczne instalacji</w:t>
      </w:r>
      <w:bookmarkEnd w:id="22"/>
      <w:r>
        <w:rPr/>
        <w:t xml:space="preserve"> </w:t>
      </w:r>
    </w:p>
    <w:p>
      <w:pPr>
        <w:pStyle w:val="Normal"/>
        <w:rPr/>
      </w:pPr>
      <w:r>
        <w:rPr/>
        <w:t>W poniższych tabelach przedstawiono główne wielkości charakterystyczne planowanego przedsięwzięcia.</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w:t>
      </w:r>
      <w:r>
        <w:fldChar w:fldCharType="end"/>
      </w:r>
      <w:r>
        <w:rPr/>
        <w:t>.</w:t>
      </w:r>
      <w:r>
        <w:rPr>
          <w:b w:val="false"/>
        </w:rPr>
        <w:t xml:space="preserve"> Podstawowe parametry planowanej instalacji</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6663"/>
        <w:gridCol w:w="2692"/>
      </w:tblGrid>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color w:val="00000A"/>
                <w:sz w:val="18"/>
                <w:szCs w:val="18"/>
              </w:rPr>
              <w:t>Dane ogólne</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Ilość linii technologicznych</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2</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sz w:val="18"/>
                <w:szCs w:val="18"/>
              </w:rPr>
            </w:pPr>
            <w:r>
              <w:rPr>
                <w:rFonts w:cs="Arial" w:ascii="Arial" w:hAnsi="Arial"/>
                <w:bCs/>
                <w:sz w:val="18"/>
                <w:szCs w:val="18"/>
              </w:rPr>
              <w:t>Łączna moc instalacji w paliwie (dla jednej linii technologicznej)</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6250 kW</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Sprawność pieca</w:t>
            </w:r>
            <w:r>
              <w:rPr>
                <w:rFonts w:cs="Arial" w:ascii="Arial" w:hAnsi="Arial"/>
                <w:sz w:val="18"/>
                <w:szCs w:val="18"/>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90%</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Straty cieplne pieca</w:t>
            </w:r>
            <w:r>
              <w:rPr>
                <w:rFonts w:cs="Arial" w:ascii="Arial" w:hAnsi="Arial"/>
                <w:sz w:val="18"/>
                <w:szCs w:val="18"/>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625 kW</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10302"/>
                <w:sz w:val="18"/>
                <w:szCs w:val="18"/>
              </w:rPr>
            </w:pPr>
            <w:r>
              <w:rPr>
                <w:rFonts w:cs="Arial" w:ascii="Arial" w:hAnsi="Arial"/>
                <w:bCs/>
                <w:spacing w:val="-4"/>
                <w:sz w:val="18"/>
                <w:szCs w:val="18"/>
              </w:rPr>
              <w:t>Z</w:t>
            </w:r>
            <w:r>
              <w:rPr>
                <w:rFonts w:cs="Arial" w:ascii="Arial" w:hAnsi="Arial"/>
                <w:bCs/>
                <w:sz w:val="18"/>
                <w:szCs w:val="18"/>
              </w:rPr>
              <w:t>akładana sprawność instalacji z uwzględnienie</w:t>
            </w:r>
            <w:r>
              <w:rPr>
                <w:rFonts w:cs="Arial" w:ascii="Arial" w:hAnsi="Arial"/>
                <w:bCs/>
                <w:spacing w:val="-2"/>
                <w:sz w:val="18"/>
                <w:szCs w:val="18"/>
              </w:rPr>
              <w:t>m</w:t>
            </w:r>
            <w:r>
              <w:rPr>
                <w:rFonts w:cs="Arial" w:ascii="Arial" w:hAnsi="Arial"/>
                <w:bCs/>
                <w:sz w:val="18"/>
                <w:szCs w:val="18"/>
              </w:rPr>
              <w:t xml:space="preserve"> sprawności pieców i kotłów</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80%</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Moc użyteczna instalacji</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5000 kW</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Czas pracy instalacji w roku</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8200 h</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color w:val="00000A"/>
                <w:sz w:val="18"/>
                <w:szCs w:val="18"/>
              </w:rPr>
              <w:t>Parametry pieca rusztowego</w:t>
            </w:r>
          </w:p>
        </w:tc>
      </w:tr>
      <w:tr>
        <w:trPr>
          <w:trHeight w:val="60" w:hRule="atLeast"/>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Temperatura procesowa</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850-1200°C</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Temperatura dopalania gazów</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do 1200°C</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Czas przebywania spalin</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nie mniej niż 2 s</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Rodzaj paliwa do palnika</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olej opałowy</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Maksymalne zużycie oleju opałowego</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60 do 90 l/h</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color w:val="00000A"/>
                <w:sz w:val="18"/>
                <w:szCs w:val="18"/>
              </w:rPr>
              <w:t>Parametry kotła odzysknicowego</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Cs/>
                <w:sz w:val="18"/>
                <w:szCs w:val="18"/>
              </w:rPr>
            </w:pPr>
            <w:r>
              <w:rPr>
                <w:rFonts w:cs="Arial" w:ascii="Arial" w:hAnsi="Arial"/>
                <w:bCs/>
                <w:sz w:val="18"/>
                <w:szCs w:val="18"/>
              </w:rPr>
              <w:t>Temperatura spalin na wejściu</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do 1000°C</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Cs/>
                <w:sz w:val="18"/>
                <w:szCs w:val="18"/>
              </w:rPr>
            </w:pPr>
            <w:r>
              <w:rPr>
                <w:rFonts w:cs="Arial" w:ascii="Arial" w:hAnsi="Arial"/>
                <w:bCs/>
                <w:sz w:val="18"/>
                <w:szCs w:val="18"/>
              </w:rPr>
              <w:t>Temperatura spalin na wylocie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ok. 210°C</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Cs/>
                <w:sz w:val="18"/>
                <w:szCs w:val="18"/>
              </w:rPr>
            </w:pPr>
            <w:r>
              <w:rPr>
                <w:rFonts w:cs="Arial" w:ascii="Arial" w:hAnsi="Arial"/>
                <w:bCs/>
                <w:sz w:val="18"/>
                <w:szCs w:val="18"/>
              </w:rPr>
              <w:t>Temperatura gorącej wody energetycznej</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ok. 140°C</w:t>
            </w:r>
          </w:p>
        </w:tc>
      </w:tr>
    </w:tbl>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w:t>
      </w:r>
      <w:r>
        <w:fldChar w:fldCharType="end"/>
      </w:r>
      <w:r>
        <w:rPr/>
        <w:t>.</w:t>
      </w:r>
      <w:r>
        <w:rPr>
          <w:b w:val="false"/>
        </w:rPr>
        <w:t xml:space="preserve"> Zużycie odpadów i surowców oraz ilość ubocznych produktów spalania</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6663"/>
        <w:gridCol w:w="2692"/>
      </w:tblGrid>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color w:val="00000A"/>
                <w:sz w:val="18"/>
                <w:szCs w:val="18"/>
              </w:rPr>
              <w:t>Zużycie odpadów</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Zużycie paliwa alternatywnego RDF rocznie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do 12300 Mg/r</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Zużycie biomasy rocznie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do ok. 1200 Mg/r</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pacing w:val="-4"/>
                <w:sz w:val="18"/>
                <w:szCs w:val="18"/>
              </w:rPr>
              <w:t>Maksymalne z</w:t>
            </w:r>
            <w:r>
              <w:rPr>
                <w:rFonts w:cs="Arial" w:ascii="Arial" w:hAnsi="Arial"/>
                <w:bCs/>
                <w:sz w:val="18"/>
                <w:szCs w:val="18"/>
              </w:rPr>
              <w:t>użycie paliwa alternatywnego godzinowe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do 1500 kg/h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pacing w:val="-4"/>
                <w:sz w:val="18"/>
                <w:szCs w:val="18"/>
              </w:rPr>
              <w:t>Maksymalne z</w:t>
            </w:r>
            <w:r>
              <w:rPr>
                <w:rFonts w:cs="Arial" w:ascii="Arial" w:hAnsi="Arial"/>
                <w:bCs/>
                <w:sz w:val="18"/>
                <w:szCs w:val="18"/>
              </w:rPr>
              <w:t>użycie biomasy</w:t>
            </w:r>
            <w:r>
              <w:rPr>
                <w:rFonts w:cs="Arial" w:ascii="Arial" w:hAnsi="Arial"/>
                <w:sz w:val="18"/>
                <w:szCs w:val="18"/>
              </w:rPr>
              <w:t xml:space="preserve"> godzinowe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do ok. 150 kg/h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 xml:space="preserve">Kaloryczność paliwa alternatywnego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15 MJ/kg</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Kaloryczność biomasy w stanie mokrym</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8,7-11,6 MJ/kg</w:t>
            </w:r>
            <w:r>
              <w:rPr>
                <w:rStyle w:val="Zakotwiczenieprzypisudolnego"/>
                <w:rFonts w:cs="Arial" w:ascii="Arial" w:hAnsi="Arial"/>
                <w:bCs/>
                <w:sz w:val="18"/>
                <w:szCs w:val="18"/>
              </w:rPr>
              <w:footnoteReference w:id="2"/>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bCs/>
                <w:sz w:val="18"/>
                <w:szCs w:val="18"/>
              </w:rPr>
            </w:pPr>
            <w:r>
              <w:rPr>
                <w:rFonts w:cs="Arial" w:ascii="Arial" w:hAnsi="Arial"/>
                <w:b/>
                <w:bCs/>
                <w:sz w:val="18"/>
                <w:szCs w:val="18"/>
              </w:rPr>
              <w:t>Zużycie surowców</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pacing w:val="-4"/>
                <w:sz w:val="18"/>
                <w:szCs w:val="18"/>
              </w:rPr>
              <w:t>Z</w:t>
            </w:r>
            <w:r>
              <w:rPr>
                <w:rFonts w:cs="Arial" w:ascii="Arial" w:hAnsi="Arial"/>
                <w:bCs/>
                <w:sz w:val="18"/>
                <w:szCs w:val="18"/>
              </w:rPr>
              <w:t>użycie wodorowęglanu sodu</w:t>
            </w:r>
            <w:r>
              <w:rPr>
                <w:rFonts w:cs="Arial" w:ascii="Arial" w:hAnsi="Arial"/>
                <w:sz w:val="18"/>
                <w:szCs w:val="18"/>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50 kg/h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pacing w:val="-4"/>
                <w:sz w:val="18"/>
                <w:szCs w:val="18"/>
              </w:rPr>
              <w:t>Z</w:t>
            </w:r>
            <w:r>
              <w:rPr>
                <w:rFonts w:cs="Arial" w:ascii="Arial" w:hAnsi="Arial"/>
                <w:bCs/>
                <w:sz w:val="18"/>
                <w:szCs w:val="18"/>
              </w:rPr>
              <w:t>użycie węgla aktywnego</w:t>
            </w:r>
            <w:r>
              <w:rPr>
                <w:rFonts w:cs="Arial" w:ascii="Arial" w:hAnsi="Arial"/>
                <w:sz w:val="18"/>
                <w:szCs w:val="18"/>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5 kg/h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 xml:space="preserve">Zużycie wody rocznie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color w:val="00000A"/>
                <w:sz w:val="18"/>
                <w:szCs w:val="18"/>
              </w:rPr>
              <w:t>1104</w:t>
            </w:r>
            <w:r>
              <w:rPr>
                <w:rFonts w:cs="Arial" w:ascii="Arial" w:hAnsi="Arial"/>
                <w:bCs/>
                <w:color w:val="FF0000"/>
                <w:sz w:val="18"/>
                <w:szCs w:val="18"/>
              </w:rPr>
              <w:t xml:space="preserve"> </w:t>
            </w:r>
            <w:r>
              <w:rPr>
                <w:rFonts w:cs="Arial" w:ascii="Arial" w:hAnsi="Arial"/>
                <w:bCs/>
                <w:spacing w:val="-2"/>
                <w:sz w:val="18"/>
                <w:szCs w:val="18"/>
              </w:rPr>
              <w:t>m</w:t>
            </w:r>
            <w:r>
              <w:rPr>
                <w:rFonts w:cs="Arial" w:ascii="Arial" w:hAnsi="Arial"/>
                <w:bCs/>
                <w:sz w:val="18"/>
                <w:szCs w:val="18"/>
                <w:vertAlign w:val="superscript"/>
              </w:rPr>
              <w:t>3</w:t>
            </w:r>
            <w:r>
              <w:rPr>
                <w:rFonts w:cs="Arial" w:ascii="Arial" w:hAnsi="Arial"/>
                <w:bCs/>
                <w:sz w:val="18"/>
                <w:szCs w:val="18"/>
              </w:rPr>
              <w:t>/rok</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Zużycie oleju opałowego do rozgrzewania i  wygaszania pieca rocznie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color w:val="010302"/>
                <w:sz w:val="18"/>
                <w:szCs w:val="18"/>
              </w:rPr>
              <w:t>30000 dm</w:t>
            </w:r>
            <w:r>
              <w:rPr>
                <w:rFonts w:cs="Arial" w:ascii="Arial" w:hAnsi="Arial"/>
                <w:color w:val="010302"/>
                <w:sz w:val="18"/>
                <w:szCs w:val="18"/>
                <w:vertAlign w:val="superscript"/>
              </w:rPr>
              <w:t>3</w:t>
            </w:r>
            <w:r>
              <w:rPr>
                <w:rFonts w:cs="Arial" w:ascii="Arial" w:hAnsi="Arial"/>
                <w:color w:val="010302"/>
                <w:sz w:val="18"/>
                <w:szCs w:val="18"/>
              </w:rPr>
              <w:t>/r</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sz w:val="18"/>
                <w:szCs w:val="18"/>
              </w:rPr>
              <w:t>Produkty uboczne spalania i oczyszczania spalin</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 xml:space="preserve">Produkcja żużla i popiołu w </w:t>
            </w:r>
            <w:r>
              <w:rPr>
                <w:rFonts w:cs="Arial" w:ascii="Arial" w:hAnsi="Arial"/>
                <w:bCs/>
                <w:spacing w:val="-2"/>
                <w:sz w:val="18"/>
                <w:szCs w:val="18"/>
              </w:rPr>
              <w:t>%</w:t>
            </w:r>
            <w:r>
              <w:rPr>
                <w:rFonts w:cs="Arial" w:ascii="Arial" w:hAnsi="Arial"/>
                <w:bCs/>
                <w:sz w:val="18"/>
                <w:szCs w:val="18"/>
              </w:rPr>
              <w:t xml:space="preserve"> suche</w:t>
            </w:r>
            <w:r>
              <w:rPr>
                <w:rFonts w:cs="Arial" w:ascii="Arial" w:hAnsi="Arial"/>
                <w:bCs/>
                <w:spacing w:val="-2"/>
                <w:sz w:val="18"/>
                <w:szCs w:val="18"/>
              </w:rPr>
              <w:t>j</w:t>
            </w:r>
            <w:r>
              <w:rPr>
                <w:rFonts w:cs="Arial" w:ascii="Arial" w:hAnsi="Arial"/>
                <w:bCs/>
                <w:sz w:val="18"/>
                <w:szCs w:val="18"/>
              </w:rPr>
              <w:t xml:space="preserve"> </w:t>
            </w:r>
            <w:r>
              <w:rPr>
                <w:rFonts w:cs="Arial" w:ascii="Arial" w:hAnsi="Arial"/>
                <w:bCs/>
                <w:spacing w:val="-2"/>
                <w:sz w:val="18"/>
                <w:szCs w:val="18"/>
              </w:rPr>
              <w:t>m</w:t>
            </w:r>
            <w:r>
              <w:rPr>
                <w:rFonts w:cs="Arial" w:ascii="Arial" w:hAnsi="Arial"/>
                <w:bCs/>
                <w:sz w:val="18"/>
                <w:szCs w:val="18"/>
              </w:rPr>
              <w:t>asy paliwa</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10%</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 xml:space="preserve">Produkcja pyłu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3,3 kg/h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pacing w:val="-4"/>
                <w:sz w:val="18"/>
                <w:szCs w:val="18"/>
              </w:rPr>
              <w:t>Ż</w:t>
            </w:r>
            <w:r>
              <w:rPr>
                <w:rFonts w:cs="Arial" w:ascii="Arial" w:hAnsi="Arial"/>
                <w:bCs/>
                <w:sz w:val="18"/>
                <w:szCs w:val="18"/>
              </w:rPr>
              <w:t>użel i popiół rocznie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1230 Mg/r</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Pyły i zużyte sorbenty rocznie</w:t>
            </w:r>
            <w:r>
              <w:rPr>
                <w:rFonts w:cs="Arial" w:ascii="Arial" w:hAnsi="Arial"/>
                <w:sz w:val="18"/>
                <w:szCs w:val="18"/>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459,20 Mg/r</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sz w:val="18"/>
                <w:szCs w:val="18"/>
              </w:rPr>
              <w:t>Ilość spalin</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Ilość spalin</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24000 N</w:t>
            </w:r>
            <w:r>
              <w:rPr>
                <w:rFonts w:cs="Arial" w:ascii="Arial" w:hAnsi="Arial"/>
                <w:bCs/>
                <w:spacing w:val="-2"/>
                <w:sz w:val="18"/>
                <w:szCs w:val="18"/>
              </w:rPr>
              <w:t>m</w:t>
            </w:r>
            <w:r>
              <w:rPr>
                <w:rFonts w:cs="Arial" w:ascii="Arial" w:hAnsi="Arial"/>
                <w:bCs/>
                <w:sz w:val="18"/>
                <w:szCs w:val="18"/>
                <w:vertAlign w:val="superscript"/>
              </w:rPr>
              <w:t>3</w:t>
            </w:r>
            <w:r>
              <w:rPr>
                <w:rFonts w:cs="Arial" w:ascii="Arial" w:hAnsi="Arial"/>
                <w:bCs/>
                <w:sz w:val="18"/>
                <w:szCs w:val="18"/>
              </w:rPr>
              <w:t>/h</w:t>
            </w:r>
          </w:p>
        </w:tc>
      </w:tr>
    </w:tbl>
    <w:p>
      <w:pPr>
        <w:pStyle w:val="Normal"/>
        <w:spacing w:lineRule="auto" w:line="360"/>
        <w:rPr/>
      </w:pPr>
      <w:r>
        <w:rPr/>
      </w:r>
    </w:p>
    <w:p>
      <w:pPr>
        <w:pStyle w:val="Normal"/>
        <w:rPr>
          <w:color w:val="00000A"/>
        </w:rPr>
      </w:pPr>
      <w:r>
        <w:rPr/>
        <w:t>W powyższym zestawieniu przyjęto, termiczne przekształcanie odpadów RDF w ilości około 12300 Mg. Jest to wariant uwzględniający możliwości technologiczne Instalacji przy spalaniu wyłącznie paliwa alternatywnego.</w:t>
      </w:r>
    </w:p>
    <w:p>
      <w:pPr>
        <w:pStyle w:val="Normal"/>
        <w:rPr>
          <w:rFonts w:ascii="Calibri" w:hAnsi="Calibri" w:eastAsia="Calibri" w:cs="Calibri"/>
          <w:sz w:val="22"/>
          <w:szCs w:val="22"/>
          <w:lang w:eastAsia="en-US"/>
        </w:rPr>
      </w:pPr>
      <w:r>
        <w:rPr/>
        <w:t xml:space="preserve">Instalacja będzie wykorzystywać jako podstawowy materiał wsadowy paliwo alternatywne </w:t>
        <w:br/>
        <w:t xml:space="preserve">o kodzie 19 12 10. Inwestor przewiduje stosowanie jako paliwa mokrej biomasy leśnej w ilości nie przekraczającej 10% całkowitej masy spalanego paliwa. W założeniu mają być to pozostałości zrębowe, korzenie ściętych drzew oraz odpady z cięć pielęgnacyjnych, poddawane in situ lub w wyznaczonych miejscach rozdrobnieniu do postaci mokrej zrębki energetycznej. </w:t>
        <w:br/>
        <w:t>W takiej postaci biomasa będzie dodawana do RDF w celu obniżenia zbyt wysokiej wartości kalorycznej paliwa stosowanego w Instalacji oraz w celu zapewnienia odpowiedniej wilgotności paliwa podawanego do Instalacji. Z informacji uzyskanych od Inwestora, kaloryczność paliwa alternatywnego wytwarzanego przez Beskid Żywiec Sp. z o.o. wynosi od około 15 do 20 MJ/kg. W założeniach technologicznych planowanej Instalacji przyjęto kaloryczność paliwa na poziomie 15 MJ/kg. W ocenie partnera technologicznego Inwestora, który będzie dostarczał instalację, odpowiednia kaloryczność paliwa może mieć wpływ na przebieg procesu technologicznego, więc jej ewentualne obniżenie wpłynie na niego korzystnie. Sam proces dodawania biomasy będzie się odbywał podczas załadunku paliwa na samochód w miejscu magazynowania RDF w instalacji Spółki Beskid Żywiec Sp. z o.o., eksploatowanej w Żywcu, przy ul. Kabaty 2.</w:t>
      </w:r>
    </w:p>
    <w:p>
      <w:pPr>
        <w:pStyle w:val="Normal"/>
        <w:rPr/>
      </w:pPr>
      <w:r>
        <w:rPr/>
        <w:t>Jeśli chodzi o fizyczną możliwość wykorzystania biomasy leśnej lub rolnej, to na obecnym etapie istnieje jedynie wstępne rozpoznanie dotyczące możliwości jej pozyskania na potrzeby wykorzystania energetycznego. Chodziłoby przede wszystkim o odpady drewna powstające z gospodarki leśnej na terenie powiatu żywieckiego, który należy do obszarów o jednym z najwyższych współczynników lesistości w kraju. Źródłem pozyskania dla instalacji biomasy będą Lasy Państwowe oraz Regionalne Zarząd Gospodarki Wodnej – Wody Polskie.</w:t>
      </w:r>
    </w:p>
    <w:p>
      <w:pPr>
        <w:pStyle w:val="Normal"/>
        <w:rPr/>
      </w:pPr>
      <w:r>
        <w:rPr/>
        <w:t>W przypadku informacji dotyczących ubocznych produktów spalania (UPS) podano wskaźnik produkcji popiołu dla spalania RDF. W przypadku spalania RDF z dodatkiem biomasy, ilość popiołów paleniskowych uległaby obniżeniu do około 9%.</w:t>
      </w:r>
    </w:p>
    <w:p>
      <w:pPr>
        <w:pStyle w:val="Normal"/>
        <w:rPr/>
      </w:pPr>
      <w:r>
        <w:rPr/>
      </w:r>
    </w:p>
    <w:p>
      <w:pPr>
        <w:pStyle w:val="Nagwek3"/>
        <w:numPr>
          <w:ilvl w:val="2"/>
          <w:numId w:val="2"/>
        </w:numPr>
        <w:ind w:hanging="851"/>
        <w:rPr/>
      </w:pPr>
      <w:bookmarkStart w:id="23" w:name="_Toc518331286"/>
      <w:bookmarkEnd w:id="23"/>
      <w:r>
        <w:rPr/>
        <w:t>Bilans energetyczny planowanego przedsięwzięcia</w:t>
      </w:r>
    </w:p>
    <w:p>
      <w:pPr>
        <w:pStyle w:val="Normal"/>
        <w:rPr/>
      </w:pPr>
      <w:r>
        <w:rPr/>
        <w:t xml:space="preserve">Zakładany bilans energetyczny instalacji przedstawiony jest w tabeli poniżej. </w:t>
      </w:r>
    </w:p>
    <w:p>
      <w:pPr>
        <w:pStyle w:val="Normal"/>
        <w:rPr/>
      </w:pPr>
      <w:r>
        <w:rPr/>
        <w:t xml:space="preserve"> </w:t>
      </w:r>
    </w:p>
    <w:p>
      <w:pPr>
        <w:pStyle w:val="Caption"/>
        <w:keepNext/>
        <w:jc w:val="left"/>
        <w:rPr/>
      </w:pPr>
      <w:r>
        <w:rPr/>
        <w:t xml:space="preserve">Tabela </w:t>
      </w:r>
      <w:r>
        <w:rPr/>
        <w:fldChar w:fldCharType="begin"/>
      </w:r>
      <w:r>
        <w:instrText> SEQ Tabela \* ARABIC </w:instrText>
      </w:r>
      <w:r>
        <w:fldChar w:fldCharType="separate"/>
      </w:r>
      <w:r>
        <w:t>4</w:t>
      </w:r>
      <w:r>
        <w:fldChar w:fldCharType="end"/>
      </w:r>
      <w:r>
        <w:rPr/>
        <w:t>.</w:t>
      </w:r>
      <w:r>
        <w:rPr>
          <w:b w:val="false"/>
        </w:rPr>
        <w:t xml:space="preserve"> Bilans energetyczny instalacji</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6663"/>
        <w:gridCol w:w="2692"/>
      </w:tblGrid>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color w:val="00000A"/>
                <w:sz w:val="18"/>
                <w:szCs w:val="18"/>
              </w:rPr>
              <w:t>Bilans energetyczny</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Moc użyteczna instalacji</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5000 kW</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color w:val="010302"/>
                <w:sz w:val="18"/>
                <w:szCs w:val="18"/>
              </w:rPr>
              <w:t>Przepustowość instalacji</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color w:val="010302"/>
                <w:sz w:val="18"/>
                <w:szCs w:val="18"/>
              </w:rPr>
              <w:t>1500 kg/h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color w:val="010302"/>
                <w:sz w:val="18"/>
                <w:szCs w:val="18"/>
              </w:rPr>
              <w:t>Czas pracy instalacji rocznie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color w:val="010302"/>
                <w:sz w:val="18"/>
                <w:szCs w:val="18"/>
              </w:rPr>
              <w:t>8200 h/r</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Kaloryczność wsadu energetycznego RDF lub mieszanka RDF + biomasa</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15 MJ/kg</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Produkcja energii cieplnej rocznie</w:t>
            </w:r>
            <w:r>
              <w:rPr>
                <w:rFonts w:cs="Arial" w:ascii="Arial" w:hAnsi="Arial"/>
                <w:sz w:val="18"/>
                <w:szCs w:val="18"/>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147600 GJ/r</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Zużycie energii elektrycznej</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167 kWh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Zużycie energii przez palnik rozpałkowy</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550-950 kWh</w:t>
            </w:r>
          </w:p>
        </w:tc>
      </w:tr>
    </w:tbl>
    <w:p>
      <w:pPr>
        <w:pStyle w:val="Normal"/>
        <w:rPr/>
      </w:pPr>
      <w:r>
        <w:rPr/>
      </w:r>
    </w:p>
    <w:p>
      <w:pPr>
        <w:pStyle w:val="Nagwek3"/>
        <w:numPr>
          <w:ilvl w:val="2"/>
          <w:numId w:val="2"/>
        </w:numPr>
        <w:ind w:hanging="851"/>
        <w:rPr/>
      </w:pPr>
      <w:bookmarkStart w:id="24" w:name="_Toc518331287"/>
      <w:bookmarkEnd w:id="24"/>
      <w:r>
        <w:rPr/>
        <w:t>Schemat technologiczny</w:t>
      </w:r>
    </w:p>
    <w:p>
      <w:pPr>
        <w:pStyle w:val="Normal"/>
        <w:rPr/>
      </w:pPr>
      <w:r>
        <w:rPr/>
        <w:t>Schemat technologiczny instalacji wraz z bilansem masowym przedstawiono na rysunku  4.</w:t>
      </w:r>
    </w:p>
    <w:p>
      <w:pPr>
        <w:pStyle w:val="Normal"/>
        <w:spacing w:lineRule="auto" w:line="360"/>
        <w:rPr/>
      </w:pPr>
      <w:r>
        <w:rPr/>
      </w:r>
    </w:p>
    <w:p>
      <w:pPr>
        <w:pStyle w:val="Normal"/>
        <w:ind w:hanging="0"/>
        <w:jc w:val="center"/>
        <w:rPr/>
      </w:pPr>
      <w:r>
        <w:rPr/>
        <w:drawing>
          <wp:inline distT="0" distB="0" distL="19050" distR="0">
            <wp:extent cx="5474970" cy="6349365"/>
            <wp:effectExtent l="0" t="0" r="0" b="0"/>
            <wp:docPr id="7" name="Obraz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4" descr=""/>
                    <pic:cNvPicPr>
                      <a:picLocks noChangeAspect="1" noChangeArrowheads="1"/>
                    </pic:cNvPicPr>
                  </pic:nvPicPr>
                  <pic:blipFill>
                    <a:blip r:embed="rId9"/>
                    <a:stretch>
                      <a:fillRect/>
                    </a:stretch>
                  </pic:blipFill>
                  <pic:spPr bwMode="auto">
                    <a:xfrm>
                      <a:off x="0" y="0"/>
                      <a:ext cx="5474970" cy="6349365"/>
                    </a:xfrm>
                    <a:prstGeom prst="rect">
                      <a:avLst/>
                    </a:prstGeom>
                  </pic:spPr>
                </pic:pic>
              </a:graphicData>
            </a:graphic>
          </wp:inline>
        </w:drawing>
      </w:r>
    </w:p>
    <w:p>
      <w:pPr>
        <w:pStyle w:val="Normal"/>
        <w:rPr>
          <w:rFonts w:ascii="Arial" w:hAnsi="Arial" w:cs="Arial"/>
          <w:b/>
          <w:b/>
          <w:color w:val="00000A"/>
          <w:szCs w:val="22"/>
        </w:rPr>
      </w:pPr>
      <w:r>
        <w:rPr>
          <w:rFonts w:cs="Arial" w:ascii="Arial" w:hAnsi="Arial"/>
          <w:b/>
          <w:color w:val="00000A"/>
          <w:szCs w:val="22"/>
        </w:rPr>
      </w:r>
    </w:p>
    <w:p>
      <w:pPr>
        <w:pStyle w:val="Caption"/>
        <w:jc w:val="center"/>
        <w:rPr/>
      </w:pPr>
      <w:r>
        <w:rPr/>
        <w:t xml:space="preserve">Rysunek </w:t>
      </w:r>
      <w:r>
        <w:rPr/>
        <w:fldChar w:fldCharType="begin"/>
      </w:r>
      <w:r>
        <w:instrText> SEQ Rysunek \* ARABIC </w:instrText>
      </w:r>
      <w:r>
        <w:fldChar w:fldCharType="separate"/>
      </w:r>
      <w:r>
        <w:t>5</w:t>
      </w:r>
      <w:r>
        <w:fldChar w:fldCharType="end"/>
      </w:r>
      <w:r>
        <w:rPr/>
        <w:t>.</w:t>
      </w:r>
      <w:r>
        <w:rPr>
          <w:bCs w:val="false"/>
          <w:i w:val="false"/>
          <w:szCs w:val="24"/>
        </w:rPr>
        <w:t xml:space="preserve"> </w:t>
      </w:r>
      <w:r>
        <w:rPr>
          <w:b w:val="false"/>
          <w:bCs w:val="false"/>
          <w:szCs w:val="24"/>
        </w:rPr>
        <w:t>Schemat technologiczny instalacji z bilansem masowym (źródło: dane Inwestora)</w:t>
      </w:r>
    </w:p>
    <w:p>
      <w:pPr>
        <w:pStyle w:val="Normal"/>
        <w:spacing w:lineRule="auto" w:line="360"/>
        <w:rPr/>
      </w:pPr>
      <w:r>
        <w:rPr/>
      </w:r>
    </w:p>
    <w:p>
      <w:pPr>
        <w:pStyle w:val="Nagwek3"/>
        <w:numPr>
          <w:ilvl w:val="2"/>
          <w:numId w:val="2"/>
        </w:numPr>
        <w:ind w:hanging="851"/>
        <w:rPr/>
      </w:pPr>
      <w:bookmarkStart w:id="25" w:name="_Toc518331288"/>
      <w:bookmarkEnd w:id="25"/>
      <w:r>
        <w:rPr/>
        <w:t>Oczekiwane parametry emisyjne instalacji</w:t>
      </w:r>
    </w:p>
    <w:p>
      <w:pPr>
        <w:pStyle w:val="Normal"/>
        <w:rPr/>
      </w:pPr>
      <w:r>
        <w:rPr/>
        <w:t xml:space="preserve">Zgodnie z definicjami zawartymi w ustawie z dnia 14 grudnia 2012 r. </w:t>
      </w:r>
      <w:r>
        <w:rPr>
          <w:i/>
        </w:rPr>
        <w:t>o odpadach</w:t>
      </w:r>
      <w:r>
        <w:rPr/>
        <w:t xml:space="preserve">, planowane przedsięwzięcie należy zaklasyfikować jako współspalarnię odpadów. Przez  współspalarnię rozumie się „zakład lub jego część, których głównym przedmiotem działalności jest wytwarzanie energii lub produktów, w których wraz z paliwami są przekształcane termicznie odpady w celu odzyskania zawartej w nich energii lub w celu ich unieszkodliwiania, obejmujące instalacje i urządzenia służące do prowadzenia procesu termicznego przekształcania wraz </w:t>
        <w:br/>
        <w:t xml:space="preserve">z oczyszczaniem gazów odlotowych i wprowadzaniem ich do atmosfery, kontrolą, sterowaniem </w:t>
        <w:br/>
        <w:t xml:space="preserve">i monitorowaniem procesów, instalacjami związanymi z przyjmowaniem, wstępnym przetwarzaniem i magazynowaniem odpadów dostarczonych do termicznego przekształcania oraz instalacjami związanymi z magazynowaniem i przetwarzaniem substancji otrzymanych </w:t>
        <w:br/>
        <w:t xml:space="preserve">w wyniku spalania i oczyszczania gazów odlotowych.” W przeciwieństwie do spalarni odpadów we współspalarni mamy do czynienia ze spalaniem odpadów razem z paliwami. </w:t>
        <w:br/>
        <w:t xml:space="preserve">W analizowanym przypadku będziemy mieli do czynienia ze spalaniem odpadów razem </w:t>
        <w:br/>
        <w:t>z biomasą.</w:t>
      </w:r>
    </w:p>
    <w:p>
      <w:pPr>
        <w:pStyle w:val="Normal"/>
        <w:rPr/>
      </w:pPr>
      <w:r>
        <w:rPr/>
        <w:t xml:space="preserve">Wymagania przepisów rozporządzenia Ministra Środowiska z dnia 1 marca 2018 r. </w:t>
      </w:r>
      <w:r>
        <w:rPr>
          <w:i/>
        </w:rPr>
        <w:t>w sprawie standardów emisyjnych dla niektórych rodzajów instalacji, źródeł spalania paliw oraz urządzeń spalania lub współspalania odpadów</w:t>
      </w:r>
      <w:r>
        <w:rPr/>
        <w:t xml:space="preserve"> (Dz.U.2018.680), które weszło w życie w dniu 14 kwietnia 2018 r. przedstawiono poniżej. </w:t>
      </w:r>
    </w:p>
    <w:p>
      <w:pPr>
        <w:pStyle w:val="Normal"/>
        <w:rPr/>
      </w:pPr>
      <w:r>
        <w:rPr/>
        <w:t>W przypadku współspalarni odpadów obowiązują inne standardy emisyjne niż w przypadku instalacji spalania odpadów (spalarni odpadów). W analizowanym przypadku, ze względu na to, że biomasa będzie stanowić jedynie niewielką część wsadu energetycznego, a głównym paliwem będą odpady paliwa alternatywnego (Inwestor dopuszcza także stosowanie wyłącznie RDF, bez biomasy) podjęto decyzję, że wielkość emisji z instalacji będzie odnoszona do standardu emisyjnego dla instalacji spalania odpadów.</w:t>
      </w:r>
    </w:p>
    <w:p>
      <w:pPr>
        <w:pStyle w:val="Normal"/>
        <w:rPr/>
      </w:pPr>
      <w:r>
        <w:rPr/>
        <w:t>Standardy emisyjne instalacji spalania odpadów, które będą punktem odniesienia dla wielkości emisji gazów i pyłów do powietrza z analizowanego przedsięwzięcia, przedstawia tabela 5.</w:t>
      </w:r>
    </w:p>
    <w:p>
      <w:pPr>
        <w:pStyle w:val="Normal"/>
        <w:rPr/>
      </w:pPr>
      <w:r>
        <w:rPr/>
        <w:t>Zgodnie z obowiązującymi przepisami standardy emisyjne dla instalacji spalania odpadów uznaje się za dotrzymane, jeżeli w przypadku prowadzenia ciągłych pomiarów wielkości emisji substancji są spełnione jednocześnie następujące warunki:</w:t>
      </w:r>
    </w:p>
    <w:p>
      <w:pPr>
        <w:pStyle w:val="Normal"/>
        <w:numPr>
          <w:ilvl w:val="0"/>
          <w:numId w:val="29"/>
        </w:numPr>
        <w:shd w:val="clear" w:color="auto" w:fill="FFFFFF"/>
        <w:rPr>
          <w:szCs w:val="24"/>
        </w:rPr>
      </w:pPr>
      <w:r>
        <w:rPr>
          <w:szCs w:val="24"/>
        </w:rPr>
        <w:t>średnie dobowe wartości stężeń pyłu, substancji organicznych w postaci gazów i par w przeliczeniu na całkowity węgiel organiczny, chlorowodoru, fluorowodoru, dwutlenku siarki oraz tlenków azotu, a w przypadku tlenku węgla 97% średnich dobowych wartości stężeń w ciągu roku kalendarzowego, licząc od początku roku, nie przekraczają standardów emisyjnych tych substancji określonych jako średnie dobowe w powyższej tabeli,</w:t>
      </w:r>
    </w:p>
    <w:p>
      <w:pPr>
        <w:pStyle w:val="Normal"/>
        <w:numPr>
          <w:ilvl w:val="0"/>
          <w:numId w:val="29"/>
        </w:numPr>
        <w:shd w:val="clear" w:color="auto" w:fill="FFFFFF"/>
        <w:rPr>
          <w:szCs w:val="24"/>
        </w:rPr>
      </w:pPr>
      <w:r>
        <w:rPr>
          <w:szCs w:val="24"/>
        </w:rPr>
        <w:t>średnie trzydziestominutowe wartości stężeń pyłu, substancji organicznych w postaci gazów i par w przeliczeniu na całkowity węgiel organiczny, chlorowodoru, fluorowodoru, dwutlenku siarki oraz tlenków azotu nie przekraczają wartości A standardów emisyjnych tych substancji lub 97% średnich trzydziestominutowych wartości stężeń tych substancji w ciągu roku kalendarzowego, licząc od początku roku, nie przekracza wartości B,</w:t>
      </w:r>
    </w:p>
    <w:p>
      <w:pPr>
        <w:pStyle w:val="Normal"/>
        <w:numPr>
          <w:ilvl w:val="0"/>
          <w:numId w:val="29"/>
        </w:numPr>
        <w:shd w:val="clear" w:color="auto" w:fill="FFFFFF"/>
        <w:rPr>
          <w:szCs w:val="24"/>
        </w:rPr>
      </w:pPr>
      <w:r>
        <w:rPr>
          <w:szCs w:val="24"/>
        </w:rPr>
        <w:t>średnie trzydziestominutowe wartości stężeń tlenku węgla nie przekraczają wartości A standardu emisyjnego tej substancji, lub 95% średnich dziesięciominutowych wartości stężeń tej substancji w ciągu 24 godzin nie przekracza wartości B standardu emisyjnego, w przypadku instalacji i urządzeń spalania odpadów, w których temperatura gazu powstałego w procesie spalania wynosi co najmniej 1100°C przez co najmniej dwie sekundy, dla dokonania oceny średnich wartości dziesięciominutowych można zastosować okres siedmiodniowy.</w:t>
      </w:r>
    </w:p>
    <w:p>
      <w:pPr>
        <w:pStyle w:val="Caption"/>
        <w:keepNext/>
        <w:jc w:val="left"/>
        <w:rPr/>
      </w:pPr>
      <w:r>
        <w:rPr/>
        <w:t xml:space="preserve">Tabela </w:t>
      </w:r>
      <w:r>
        <w:rPr/>
        <w:fldChar w:fldCharType="begin"/>
      </w:r>
      <w:r>
        <w:instrText> SEQ Tabela \* ARABIC </w:instrText>
      </w:r>
      <w:r>
        <w:fldChar w:fldCharType="separate"/>
      </w:r>
      <w:r>
        <w:t>5</w:t>
      </w:r>
      <w:r>
        <w:fldChar w:fldCharType="end"/>
      </w:r>
      <w:r>
        <w:rPr/>
        <w:t>.</w:t>
      </w:r>
      <w:r>
        <w:rPr>
          <w:b w:val="false"/>
        </w:rPr>
        <w:t xml:space="preserve"> Standardy emisyjne instalacji spalania odpadów</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566"/>
        <w:gridCol w:w="4254"/>
        <w:gridCol w:w="1558"/>
        <w:gridCol w:w="1559"/>
        <w:gridCol w:w="1419"/>
      </w:tblGrid>
      <w:tr>
        <w:trPr/>
        <w:tc>
          <w:tcPr>
            <w:tcW w:w="56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Lp.</w:t>
            </w:r>
          </w:p>
        </w:tc>
        <w:tc>
          <w:tcPr>
            <w:tcW w:w="425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Nazwa substancji</w:t>
            </w:r>
          </w:p>
        </w:tc>
        <w:tc>
          <w:tcPr>
            <w:tcW w:w="4536"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Standardy emisyjne w mg/m</w:t>
            </w:r>
            <w:r>
              <w:rPr>
                <w:rFonts w:cs="Arial" w:ascii="Arial" w:hAnsi="Arial"/>
                <w:b/>
                <w:sz w:val="18"/>
                <w:szCs w:val="18"/>
                <w:vertAlign w:val="superscript"/>
              </w:rPr>
              <w:t>3</w:t>
            </w:r>
            <w:r>
              <w:rPr>
                <w:rFonts w:cs="Arial" w:ascii="Arial" w:hAnsi="Arial"/>
                <w:b/>
                <w:sz w:val="18"/>
                <w:szCs w:val="18"/>
              </w:rPr>
              <w:t>u (dla dioksyn i furanów w ng/m</w:t>
            </w:r>
            <w:r>
              <w:rPr>
                <w:rFonts w:cs="Arial" w:ascii="Arial" w:hAnsi="Arial"/>
                <w:b/>
                <w:sz w:val="18"/>
                <w:szCs w:val="18"/>
                <w:vertAlign w:val="superscript"/>
              </w:rPr>
              <w:t>3</w:t>
            </w:r>
            <w:r>
              <w:rPr>
                <w:rFonts w:cs="Arial" w:ascii="Arial" w:hAnsi="Arial"/>
                <w:b/>
                <w:sz w:val="18"/>
                <w:szCs w:val="18"/>
              </w:rPr>
              <w:t>u), przy zawartości 11% tlenu w gazach odlotowych</w:t>
            </w:r>
          </w:p>
        </w:tc>
      </w:tr>
      <w:tr>
        <w:trPr/>
        <w:tc>
          <w:tcPr>
            <w:tcW w:w="56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r>
          </w:p>
        </w:tc>
        <w:tc>
          <w:tcPr>
            <w:tcW w:w="425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r>
          </w:p>
        </w:tc>
        <w:tc>
          <w:tcPr>
            <w:tcW w:w="155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średnie dobowe</w:t>
            </w:r>
          </w:p>
        </w:tc>
        <w:tc>
          <w:tcPr>
            <w:tcW w:w="297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średnie trzydziestominutowe</w:t>
            </w:r>
          </w:p>
        </w:tc>
      </w:tr>
      <w:tr>
        <w:trPr/>
        <w:tc>
          <w:tcPr>
            <w:tcW w:w="56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r>
          </w:p>
        </w:tc>
        <w:tc>
          <w:tcPr>
            <w:tcW w:w="425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r>
          </w:p>
        </w:tc>
        <w:tc>
          <w:tcPr>
            <w:tcW w:w="155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A</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B</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pył</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30</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 xml:space="preserve">substancje organiczne w postaci gazów i par wyrażone jako całkowity węgiel organiczny </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chlorowodór</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60</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fluorowodór</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dwutlenek siarki</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50</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50</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tlenek węgla</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50</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100</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150</w:t>
            </w:r>
            <w:r>
              <w:rPr>
                <w:rStyle w:val="Zakotwiczenieprzypisudolnego"/>
                <w:rFonts w:cs="Arial" w:ascii="Arial" w:hAnsi="Arial"/>
                <w:sz w:val="18"/>
                <w:szCs w:val="18"/>
              </w:rPr>
              <w:footnoteReference w:id="3"/>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tlenki azotu dla istniejących instalacji i istniejących urządzeń o zdolności przetwarzania większej niż 6 Mg odpadów spalanych w ciągu godziny lub dla nowych instalacji i nowych urządzeń</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400</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w:t>
            </w:r>
          </w:p>
        </w:tc>
      </w:tr>
      <w:tr>
        <w:trPr/>
        <w:tc>
          <w:tcPr>
            <w:tcW w:w="56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metale ciężkie i ich związki wyrażone jako metal</w:t>
            </w:r>
          </w:p>
        </w:tc>
        <w:tc>
          <w:tcPr>
            <w:tcW w:w="4536"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średnie z próby o czasie trwania od 30 minut do 8 godzin</w:t>
            </w:r>
          </w:p>
        </w:tc>
      </w:tr>
      <w:tr>
        <w:trPr/>
        <w:tc>
          <w:tcPr>
            <w:tcW w:w="56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kadm + tal</w:t>
            </w:r>
          </w:p>
        </w:tc>
        <w:tc>
          <w:tcPr>
            <w:tcW w:w="4536"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0,05</w:t>
            </w:r>
          </w:p>
        </w:tc>
      </w:tr>
      <w:tr>
        <w:trPr/>
        <w:tc>
          <w:tcPr>
            <w:tcW w:w="56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rtęć</w:t>
            </w:r>
          </w:p>
        </w:tc>
        <w:tc>
          <w:tcPr>
            <w:tcW w:w="4536"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0,05</w:t>
            </w:r>
          </w:p>
        </w:tc>
      </w:tr>
      <w:tr>
        <w:trPr/>
        <w:tc>
          <w:tcPr>
            <w:tcW w:w="56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antymon + arsen + ołów + chrom + kobalt + miedź + mangan + nikiel + wanad</w:t>
            </w:r>
          </w:p>
        </w:tc>
        <w:tc>
          <w:tcPr>
            <w:tcW w:w="4536"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0,5</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dioksyny i furany</w:t>
            </w:r>
          </w:p>
        </w:tc>
        <w:tc>
          <w:tcPr>
            <w:tcW w:w="4536"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średnia z próby o czasie trwania od 6 godzin do 8 godzin 0,1</w:t>
            </w:r>
            <w:r>
              <w:rPr>
                <w:rStyle w:val="Zakotwiczenieprzypisudolnego"/>
                <w:rFonts w:cs="Arial" w:ascii="Arial" w:hAnsi="Arial"/>
                <w:sz w:val="18"/>
                <w:szCs w:val="18"/>
              </w:rPr>
              <w:footnoteReference w:id="4"/>
            </w:r>
          </w:p>
        </w:tc>
      </w:tr>
    </w:tbl>
    <w:p>
      <w:pPr>
        <w:pStyle w:val="Normal"/>
        <w:spacing w:lineRule="auto" w:line="360"/>
        <w:ind w:hanging="0"/>
        <w:rPr/>
      </w:pPr>
      <w:r>
        <w:rPr/>
      </w:r>
    </w:p>
    <w:p>
      <w:pPr>
        <w:pStyle w:val="Normal"/>
        <w:rPr/>
      </w:pPr>
      <w:r>
        <w:rPr/>
        <w:t>Standardy emisyjne dla instalacji spalania odpadów uznaje się za dotrzymane, jeśli średnie wartości stężeń w okresie pomiarowym ustalonym dla metali ciężkich oraz dioksyn i furanów nie mogą także przekraczać standardów emisyjnych określonych dla tych substancji.</w:t>
      </w:r>
    </w:p>
    <w:p>
      <w:pPr>
        <w:pStyle w:val="Normal"/>
        <w:rPr/>
      </w:pPr>
      <w:r>
        <w:rPr/>
        <w:t>Dokonując oceny dotrzymywania standardów emisyjnych, nie uwzględnia się:</w:t>
      </w:r>
    </w:p>
    <w:p>
      <w:pPr>
        <w:pStyle w:val="Normal"/>
        <w:numPr>
          <w:ilvl w:val="0"/>
          <w:numId w:val="30"/>
        </w:numPr>
        <w:shd w:val="clear" w:color="auto" w:fill="FFFFFF"/>
        <w:rPr>
          <w:szCs w:val="24"/>
        </w:rPr>
      </w:pPr>
      <w:r>
        <w:rPr>
          <w:szCs w:val="24"/>
        </w:rPr>
        <w:t>okresów rozruchu i wyłączania instalacji albo urządzeń, o ile w trakcie ich trwania nie są spalane odpady,</w:t>
      </w:r>
    </w:p>
    <w:p>
      <w:pPr>
        <w:pStyle w:val="Normal"/>
        <w:numPr>
          <w:ilvl w:val="0"/>
          <w:numId w:val="30"/>
        </w:numPr>
        <w:shd w:val="clear" w:color="auto" w:fill="FFFFFF"/>
        <w:rPr>
          <w:szCs w:val="24"/>
        </w:rPr>
      </w:pPr>
      <w:r>
        <w:rPr>
          <w:szCs w:val="24"/>
        </w:rPr>
        <w:t>wpływających na zwiększenie emisji substancji zakłóceń w pracy urządzeń ochronnych ograniczających emisję do 60 godzin w roku kalendarzowym, licząc od początku roku.</w:t>
      </w:r>
    </w:p>
    <w:p>
      <w:pPr>
        <w:pStyle w:val="Normal"/>
        <w:rPr/>
      </w:pPr>
      <w:r>
        <w:rPr/>
        <w:t>W przypadku wystąpienia przerw w prowadzeniu ciągłych pomiarów wielkości emisji substancji, przy sprawdzaniu spełniania warunków spełnienia standardów emisyjnych, warunki uznawania standardów emisyjnych za dotrzymane sprawdza się przyjmując za średnie wielkości emisji substancji w okresach tych przerw, średnie wielkości emisji substancji w okresie poprzedzającym przerwę równym okresowi przerwy lub wielkości emisji substancji wyznaczone innymi metodami określonymi w pozwoleniu na wprowadzanie gazów lub pyłów do powietrza albo w pozwoleniu zintegrowanym.</w:t>
      </w:r>
    </w:p>
    <w:p>
      <w:pPr>
        <w:pStyle w:val="Normal"/>
        <w:rPr/>
      </w:pPr>
      <w:r>
        <w:rPr/>
        <w:t>W przypadku prowadzenia okresowych pomiarów wielkości emisji substancji, standardy emisyjne uznaje się za dotrzymane, jeżeli wartości średnie uzyskane w wyniku pomiaru nie przekraczają tych standardów.</w:t>
      </w:r>
    </w:p>
    <w:p>
      <w:pPr>
        <w:pStyle w:val="Normal"/>
        <w:rPr/>
      </w:pPr>
      <w:r>
        <w:rPr/>
        <w:t>Informację o każdym przypadku niedotrzymania warunków spełniania standardów emisyjnych:</w:t>
      </w:r>
    </w:p>
    <w:p>
      <w:pPr>
        <w:pStyle w:val="Normal"/>
        <w:numPr>
          <w:ilvl w:val="0"/>
          <w:numId w:val="31"/>
        </w:numPr>
        <w:shd w:val="clear" w:color="auto" w:fill="FFFFFF"/>
        <w:rPr>
          <w:szCs w:val="24"/>
        </w:rPr>
      </w:pPr>
      <w:r>
        <w:rPr>
          <w:szCs w:val="24"/>
        </w:rPr>
        <w:t>prowadzący instalację spalania lub współspalania odpadów przekazuje organowi właściwemu do wydania pozwolenia,</w:t>
      </w:r>
    </w:p>
    <w:p>
      <w:pPr>
        <w:pStyle w:val="Normal"/>
        <w:numPr>
          <w:ilvl w:val="0"/>
          <w:numId w:val="31"/>
        </w:numPr>
        <w:shd w:val="clear" w:color="auto" w:fill="FFFFFF"/>
        <w:rPr>
          <w:szCs w:val="24"/>
        </w:rPr>
      </w:pPr>
      <w:r>
        <w:rPr>
          <w:szCs w:val="24"/>
        </w:rPr>
        <w:t>użytkownik urządzenia spalania odpadów przekazuje wojewódzkiemu inspektorowi ochrony środowiska</w:t>
      </w:r>
    </w:p>
    <w:p>
      <w:pPr>
        <w:pStyle w:val="Normal"/>
        <w:rPr/>
      </w:pPr>
      <w:r>
        <w:rPr/>
        <w:t>- w ciągu 24 godzin od momentu stwierdzenia ich niedotrzymania.</w:t>
      </w:r>
    </w:p>
    <w:p>
      <w:pPr>
        <w:pStyle w:val="Normal"/>
        <w:rPr/>
      </w:pPr>
      <w:r>
        <w:rPr/>
        <w:t>W powyższej informacji prowadzący instalację wskazuje rodzaj i lokalizację źródła oraz prowadzącego źródło, rodzaj substancji, której standard emisyjny nie został dotrzymany, czasu wystąpienia zdarzenia i przewidywanego okresu jego trwania.</w:t>
      </w:r>
    </w:p>
    <w:p>
      <w:pPr>
        <w:pStyle w:val="Normal"/>
        <w:rPr/>
      </w:pPr>
      <w:r>
        <w:rPr/>
        <w:t>Proces spalania odpadów nie może być kontynuowany przez okres przekraczający cztery godziny, w przypadku gdy przekraczane są standardy emisyjne. W tym czasie dla instalacji i urządzeń spalania odpadów średnie trzydziestominutowe stężenie pyłu, tlenku węgla i substancji organicznych wyrażonych jako całkowity węgiel organiczny, przy zawartości 11% tlenu w gazach odlotowych, nie może przekraczać:</w:t>
      </w:r>
    </w:p>
    <w:p>
      <w:pPr>
        <w:pStyle w:val="Normal"/>
        <w:numPr>
          <w:ilvl w:val="0"/>
          <w:numId w:val="32"/>
        </w:numPr>
        <w:shd w:val="clear" w:color="auto" w:fill="FFFFFF"/>
        <w:rPr>
          <w:szCs w:val="24"/>
        </w:rPr>
      </w:pPr>
      <w:r>
        <w:rPr>
          <w:szCs w:val="24"/>
        </w:rPr>
        <w:t>dla pyłu - 150 mg/m</w:t>
      </w:r>
      <w:r>
        <w:rPr>
          <w:szCs w:val="24"/>
          <w:vertAlign w:val="superscript"/>
        </w:rPr>
        <w:t>3</w:t>
      </w:r>
      <w:r>
        <w:rPr>
          <w:szCs w:val="24"/>
        </w:rPr>
        <w:t>,</w:t>
      </w:r>
    </w:p>
    <w:p>
      <w:pPr>
        <w:pStyle w:val="Normal"/>
        <w:numPr>
          <w:ilvl w:val="0"/>
          <w:numId w:val="32"/>
        </w:numPr>
        <w:shd w:val="clear" w:color="auto" w:fill="FFFFFF"/>
        <w:rPr>
          <w:szCs w:val="24"/>
        </w:rPr>
      </w:pPr>
      <w:r>
        <w:rPr>
          <w:szCs w:val="24"/>
        </w:rPr>
        <w:t>dla tlenku węgla - 100 mg/m</w:t>
      </w:r>
      <w:r>
        <w:rPr>
          <w:szCs w:val="24"/>
          <w:vertAlign w:val="superscript"/>
        </w:rPr>
        <w:t>3</w:t>
      </w:r>
      <w:r>
        <w:rPr>
          <w:szCs w:val="24"/>
        </w:rPr>
        <w:t>,</w:t>
      </w:r>
    </w:p>
    <w:p>
      <w:pPr>
        <w:pStyle w:val="Normal"/>
        <w:numPr>
          <w:ilvl w:val="0"/>
          <w:numId w:val="32"/>
        </w:numPr>
        <w:shd w:val="clear" w:color="auto" w:fill="FFFFFF"/>
        <w:rPr/>
      </w:pPr>
      <w:r>
        <w:rPr>
          <w:szCs w:val="24"/>
        </w:rPr>
        <w:t>dla substancji organicznych wyrażonych jako całkowity węgiel organiczny - 20 mg/m</w:t>
      </w:r>
      <w:r>
        <w:rPr>
          <w:szCs w:val="24"/>
          <w:vertAlign w:val="superscript"/>
        </w:rPr>
        <w:t>3</w:t>
      </w:r>
      <w:r>
        <w:rPr>
          <w:szCs w:val="24"/>
        </w:rPr>
        <w:t>.</w:t>
      </w:r>
    </w:p>
    <w:p>
      <w:pPr>
        <w:pStyle w:val="Normal"/>
        <w:rPr/>
      </w:pPr>
      <w:r>
        <w:rPr/>
        <w:t>Łączny czas eksploatacji instalacji spalania odpadów w warunkach przekraczania standardów emisyjnych nie może przekraczać, dla każdej linii technologicznej, wyposażonej w odrębne urządzenia ochronne ograniczające emisję, 60 godzin w okresie roku kalendarzowego.</w:t>
      </w:r>
    </w:p>
    <w:p>
      <w:pPr>
        <w:pStyle w:val="Normal"/>
        <w:rPr/>
      </w:pPr>
      <w:r>
        <w:rPr/>
        <w:t>W przypadku wystąpienia zakłóceń w procesach technologicznych i operacjach technicznych lub w pracy urządzeń ochronnych ograniczających emisję, powodujących przekraczanie standardów emisyjnych:</w:t>
      </w:r>
    </w:p>
    <w:p>
      <w:pPr>
        <w:pStyle w:val="Normal"/>
        <w:numPr>
          <w:ilvl w:val="0"/>
          <w:numId w:val="33"/>
        </w:numPr>
        <w:shd w:val="clear" w:color="auto" w:fill="FFFFFF"/>
        <w:rPr>
          <w:szCs w:val="24"/>
        </w:rPr>
      </w:pPr>
      <w:r>
        <w:rPr>
          <w:szCs w:val="24"/>
        </w:rPr>
        <w:t>natychmiast wstrzymuje się podawanie odpadów do instalacji a jeżeli przekraczanie standardów emisyjnych utrzymuje się, nie później niż w czwartej godzinie trwania zakłóceń rozpoczyna się procedurę zatrzymywania instalacji albo urządzeń w trybie przewidzianym w instrukcji obsługi instalacji albo urządzeń;</w:t>
      </w:r>
    </w:p>
    <w:p>
      <w:pPr>
        <w:pStyle w:val="Normal"/>
        <w:numPr>
          <w:ilvl w:val="0"/>
          <w:numId w:val="33"/>
        </w:numPr>
        <w:shd w:val="clear" w:color="auto" w:fill="FFFFFF"/>
        <w:rPr>
          <w:szCs w:val="24"/>
        </w:rPr>
      </w:pPr>
      <w:r>
        <w:rPr>
          <w:szCs w:val="24"/>
        </w:rPr>
        <w:t>po przekroczeniu rocznego limitu czasu (60 godzin) - natychmiast wstrzymuje się podawanie odpadów do instalacji oraz jednocześnie rozpoczyna się procedurę zatrzymywania instalacji albo urządzeń w trybie przewidzianym w instrukcji obsługi instalacji albo urządzeń.</w:t>
      </w:r>
    </w:p>
    <w:p>
      <w:pPr>
        <w:pStyle w:val="Normal"/>
        <w:rPr/>
      </w:pPr>
      <w:r>
        <w:rPr/>
        <w:t>Podawanie odpadów do instalacji albo urządzeń spalania lub współspalania odpadów wstrzymuje się natychmiast także w przypadku spadku temperatury w komorze spalania poniżej 850°C, a przy spalaniu odpadów niebezpiecznych zawierających ponad 1% związków chlorowcoorganicznych w przeliczeniu na chlor - poniżej 1100°C.</w:t>
      </w:r>
    </w:p>
    <w:p>
      <w:pPr>
        <w:pStyle w:val="Normal"/>
        <w:rPr/>
      </w:pPr>
      <w:r>
        <w:rPr/>
        <w:t xml:space="preserve">Gazy odlotowe z instalacji wprowadza się do powietrza w sposób kontrolowany, przez komin, którego wysokość jest ustalana w taki sposób, aby chronić zdrowie ludzi i środowisko. </w:t>
      </w:r>
    </w:p>
    <w:p>
      <w:pPr>
        <w:pStyle w:val="Normal"/>
        <w:rPr/>
      </w:pPr>
      <w:r>
        <w:rPr/>
      </w:r>
    </w:p>
    <w:p>
      <w:pPr>
        <w:pStyle w:val="Nagwek3"/>
        <w:numPr>
          <w:ilvl w:val="2"/>
          <w:numId w:val="2"/>
        </w:numPr>
        <w:ind w:hanging="851"/>
        <w:rPr/>
      </w:pPr>
      <w:bookmarkStart w:id="26" w:name="_Toc518331289"/>
      <w:r>
        <w:rPr/>
        <w:t>Zapotrzebowanie na wodę</w:t>
      </w:r>
      <w:bookmarkEnd w:id="26"/>
      <w:r>
        <w:rPr/>
        <w:t xml:space="preserve"> </w:t>
      </w:r>
    </w:p>
    <w:p>
      <w:pPr>
        <w:pStyle w:val="Normal"/>
        <w:rPr/>
      </w:pPr>
      <w:r>
        <w:rPr/>
        <w:t xml:space="preserve">Zużycie wody w trakcie eksploatacji planowanego przedsięwzięcia będzie związane z realizacją następujących potrzeb: </w:t>
      </w:r>
    </w:p>
    <w:p>
      <w:pPr>
        <w:pStyle w:val="PlainText"/>
        <w:numPr>
          <w:ilvl w:val="0"/>
          <w:numId w:val="27"/>
        </w:numPr>
        <w:jc w:val="both"/>
        <w:rPr>
          <w:rFonts w:ascii="Times New Roman" w:hAnsi="Times New Roman" w:cs="Times New Roman"/>
          <w:sz w:val="24"/>
          <w:szCs w:val="24"/>
        </w:rPr>
      </w:pPr>
      <w:r>
        <w:rPr>
          <w:rFonts w:cs="Times New Roman" w:ascii="Times New Roman" w:hAnsi="Times New Roman"/>
          <w:sz w:val="24"/>
          <w:szCs w:val="24"/>
        </w:rPr>
        <w:t>związanych z okresowym myciem posadzki w budynku kotłowni i magazynów oraz części urządzeń technologicznych – około 300 m</w:t>
      </w:r>
      <w:r>
        <w:rPr>
          <w:rFonts w:cs="Times New Roman" w:ascii="Times New Roman" w:hAnsi="Times New Roman"/>
          <w:sz w:val="24"/>
          <w:szCs w:val="24"/>
          <w:vertAlign w:val="superscript"/>
        </w:rPr>
        <w:t>3</w:t>
      </w:r>
      <w:r>
        <w:rPr>
          <w:rFonts w:cs="Times New Roman" w:ascii="Times New Roman" w:hAnsi="Times New Roman"/>
          <w:sz w:val="24"/>
          <w:szCs w:val="24"/>
        </w:rPr>
        <w:t xml:space="preserve"> na rok (zakładane mycie posadzki 2-3 razy w tygodniu, zużycie na jednorazowe mycie około 2 m</w:t>
      </w:r>
      <w:r>
        <w:rPr>
          <w:rFonts w:cs="Times New Roman" w:ascii="Times New Roman" w:hAnsi="Times New Roman"/>
          <w:sz w:val="24"/>
          <w:szCs w:val="24"/>
          <w:vertAlign w:val="superscript"/>
        </w:rPr>
        <w:t>3</w:t>
      </w:r>
      <w:r>
        <w:rPr>
          <w:rFonts w:cs="Times New Roman" w:ascii="Times New Roman" w:hAnsi="Times New Roman"/>
          <w:sz w:val="24"/>
          <w:szCs w:val="24"/>
        </w:rPr>
        <w:t xml:space="preserve">, ilość tygodni w roku 50 z uwzględnieniem przestoju konserwacyjnego raz w roku przez 2 tygodnie), </w:t>
      </w:r>
    </w:p>
    <w:p>
      <w:pPr>
        <w:pStyle w:val="PlainText"/>
        <w:numPr>
          <w:ilvl w:val="0"/>
          <w:numId w:val="27"/>
        </w:numPr>
        <w:jc w:val="both"/>
        <w:rPr>
          <w:rFonts w:ascii="Times New Roman" w:hAnsi="Times New Roman" w:cs="Times New Roman"/>
          <w:sz w:val="24"/>
          <w:szCs w:val="24"/>
        </w:rPr>
      </w:pPr>
      <w:r>
        <w:rPr>
          <w:rFonts w:cs="Times New Roman" w:ascii="Times New Roman" w:hAnsi="Times New Roman"/>
          <w:sz w:val="24"/>
          <w:szCs w:val="24"/>
        </w:rPr>
        <w:t>związanych z przebywaniem osób – około 205 m</w:t>
      </w:r>
      <w:r>
        <w:rPr>
          <w:rFonts w:cs="Times New Roman" w:ascii="Times New Roman" w:hAnsi="Times New Roman"/>
          <w:sz w:val="24"/>
          <w:szCs w:val="24"/>
          <w:vertAlign w:val="superscript"/>
        </w:rPr>
        <w:t>3</w:t>
      </w:r>
      <w:r>
        <w:rPr>
          <w:rFonts w:cs="Times New Roman" w:ascii="Times New Roman" w:hAnsi="Times New Roman"/>
          <w:sz w:val="24"/>
          <w:szCs w:val="24"/>
        </w:rPr>
        <w:t xml:space="preserve"> na rok (szacowana ilość dla 10 osób),</w:t>
      </w:r>
    </w:p>
    <w:p>
      <w:pPr>
        <w:pStyle w:val="PlainText"/>
        <w:numPr>
          <w:ilvl w:val="0"/>
          <w:numId w:val="27"/>
        </w:numPr>
        <w:jc w:val="both"/>
        <w:rPr>
          <w:rFonts w:ascii="Times New Roman" w:hAnsi="Times New Roman" w:cs="Times New Roman"/>
          <w:sz w:val="24"/>
          <w:szCs w:val="24"/>
        </w:rPr>
      </w:pPr>
      <w:r>
        <w:rPr>
          <w:rFonts w:cs="Times New Roman" w:ascii="Times New Roman" w:hAnsi="Times New Roman"/>
          <w:sz w:val="24"/>
          <w:szCs w:val="24"/>
        </w:rPr>
        <w:t>związanych z nawilżaniem spalin w procesie ich oczyszczania – 271 m</w:t>
      </w:r>
      <w:r>
        <w:rPr>
          <w:rFonts w:cs="Times New Roman" w:ascii="Times New Roman" w:hAnsi="Times New Roman"/>
          <w:sz w:val="24"/>
          <w:szCs w:val="24"/>
          <w:vertAlign w:val="superscript"/>
        </w:rPr>
        <w:t>3</w:t>
      </w:r>
      <w:r>
        <w:rPr>
          <w:rFonts w:cs="Times New Roman" w:ascii="Times New Roman" w:hAnsi="Times New Roman"/>
          <w:sz w:val="24"/>
          <w:szCs w:val="24"/>
        </w:rPr>
        <w:t xml:space="preserve"> na rok (zakładane 0,033 m</w:t>
      </w:r>
      <w:r>
        <w:rPr>
          <w:rFonts w:cs="Times New Roman" w:ascii="Times New Roman" w:hAnsi="Times New Roman"/>
          <w:sz w:val="24"/>
          <w:szCs w:val="24"/>
          <w:vertAlign w:val="superscript"/>
        </w:rPr>
        <w:t>3</w:t>
      </w:r>
      <w:r>
        <w:rPr>
          <w:rFonts w:cs="Times New Roman" w:ascii="Times New Roman" w:hAnsi="Times New Roman"/>
          <w:sz w:val="24"/>
          <w:szCs w:val="24"/>
        </w:rPr>
        <w:t xml:space="preserve">/h, praca 8200 godzin), </w:t>
      </w:r>
    </w:p>
    <w:p>
      <w:pPr>
        <w:pStyle w:val="PlainText"/>
        <w:numPr>
          <w:ilvl w:val="0"/>
          <w:numId w:val="27"/>
        </w:numPr>
        <w:jc w:val="both"/>
        <w:rPr>
          <w:rFonts w:ascii="Times New Roman" w:hAnsi="Times New Roman" w:cs="Times New Roman"/>
          <w:sz w:val="24"/>
          <w:szCs w:val="24"/>
        </w:rPr>
      </w:pPr>
      <w:r>
        <w:rPr>
          <w:rFonts w:cs="Times New Roman" w:ascii="Times New Roman" w:hAnsi="Times New Roman"/>
          <w:sz w:val="24"/>
          <w:szCs w:val="24"/>
        </w:rPr>
        <w:t>związanych</w:t>
      </w:r>
      <w:r>
        <w:rPr>
          <w:rFonts w:ascii="Times New Roman" w:hAnsi="Times New Roman"/>
          <w:sz w:val="24"/>
        </w:rPr>
        <w:t xml:space="preserve"> z uzupełnieniem obiegu grzewczego kotła wodnego – za uzupełnianie wody będzie odpowiadał operator sieci ciepłowniczej, który doprowadza nośnik energii - wodę do instalacji w celu jej podgrzania,</w:t>
      </w:r>
    </w:p>
    <w:p>
      <w:pPr>
        <w:pStyle w:val="PlainText"/>
        <w:numPr>
          <w:ilvl w:val="0"/>
          <w:numId w:val="27"/>
        </w:numPr>
        <w:jc w:val="both"/>
        <w:rPr>
          <w:rFonts w:ascii="Times New Roman" w:hAnsi="Times New Roman" w:cs="Times New Roman"/>
          <w:sz w:val="24"/>
          <w:szCs w:val="24"/>
        </w:rPr>
      </w:pPr>
      <w:r>
        <w:rPr>
          <w:rFonts w:cs="Times New Roman" w:ascii="Times New Roman" w:hAnsi="Times New Roman"/>
          <w:sz w:val="24"/>
          <w:szCs w:val="24"/>
        </w:rPr>
        <w:t>związanych</w:t>
      </w:r>
      <w:r>
        <w:rPr>
          <w:rFonts w:ascii="Times New Roman" w:hAnsi="Times New Roman"/>
          <w:sz w:val="24"/>
        </w:rPr>
        <w:t xml:space="preserve"> z uzupełnianiem obiegu wody w mokrym odżużlaczu pod kotłem – około 328 m</w:t>
      </w:r>
      <w:r>
        <w:rPr>
          <w:rFonts w:ascii="Times New Roman" w:hAnsi="Times New Roman"/>
          <w:sz w:val="24"/>
          <w:vertAlign w:val="superscript"/>
        </w:rPr>
        <w:t>3</w:t>
      </w:r>
      <w:r>
        <w:rPr>
          <w:rFonts w:ascii="Times New Roman" w:hAnsi="Times New Roman"/>
          <w:sz w:val="24"/>
        </w:rPr>
        <w:t xml:space="preserve"> na rok (zużycie 0,04 m</w:t>
      </w:r>
      <w:r>
        <w:rPr>
          <w:rFonts w:ascii="Times New Roman" w:hAnsi="Times New Roman"/>
          <w:sz w:val="24"/>
          <w:vertAlign w:val="superscript"/>
        </w:rPr>
        <w:t>3</w:t>
      </w:r>
      <w:r>
        <w:rPr>
          <w:rFonts w:ascii="Times New Roman" w:hAnsi="Times New Roman"/>
          <w:sz w:val="24"/>
        </w:rPr>
        <w:t>/h, praca 8200 h/rocznie).</w:t>
      </w:r>
    </w:p>
    <w:p>
      <w:pPr>
        <w:pStyle w:val="Normal"/>
        <w:rPr/>
      </w:pPr>
      <w:r>
        <w:rPr/>
        <w:t>Woda pobierana będzie z istniejącej sieci wodociągowej.</w:t>
      </w:r>
    </w:p>
    <w:p>
      <w:pPr>
        <w:pStyle w:val="Normal"/>
        <w:rPr>
          <w:rFonts w:ascii="Arial" w:hAnsi="Arial" w:cs="Arial"/>
          <w:b/>
          <w:b/>
          <w:color w:val="00000A"/>
          <w:szCs w:val="22"/>
        </w:rPr>
      </w:pPr>
      <w:r>
        <w:rPr>
          <w:rFonts w:cs="Arial" w:ascii="Arial" w:hAnsi="Arial"/>
          <w:b/>
          <w:color w:val="00000A"/>
          <w:szCs w:val="22"/>
        </w:rPr>
      </w:r>
    </w:p>
    <w:p>
      <w:pPr>
        <w:pStyle w:val="Nagwek3"/>
        <w:numPr>
          <w:ilvl w:val="2"/>
          <w:numId w:val="2"/>
        </w:numPr>
        <w:ind w:hanging="851"/>
        <w:rPr/>
      </w:pPr>
      <w:bookmarkStart w:id="27" w:name="_Toc518331290"/>
      <w:r>
        <w:rPr/>
        <w:t>Zapotrzebowanie na chemikalia i materiały</w:t>
      </w:r>
      <w:bookmarkEnd w:id="27"/>
      <w:r>
        <w:rPr/>
        <w:t xml:space="preserve"> </w:t>
      </w:r>
    </w:p>
    <w:p>
      <w:pPr>
        <w:pStyle w:val="Normal"/>
        <w:rPr/>
      </w:pPr>
      <w:r>
        <w:rPr/>
        <w:t xml:space="preserve">Wykorzystanie surowców będzie się sprowadzało do zastosowania wybranych rodzajów sorbentów w instalacji suchego oczyszczania spalin. Planowane zużycie będzie kształtowało się na następujących poziomach: </w:t>
      </w:r>
    </w:p>
    <w:p>
      <w:pPr>
        <w:pStyle w:val="Normal"/>
        <w:numPr>
          <w:ilvl w:val="0"/>
          <w:numId w:val="34"/>
        </w:numPr>
        <w:rPr/>
      </w:pPr>
      <w:r>
        <w:rPr/>
        <w:t>wodorowęglan sodu – kwaśny węglan sodowy NaHCO</w:t>
      </w:r>
      <w:r>
        <w:rPr>
          <w:vertAlign w:val="subscript"/>
        </w:rPr>
        <w:t>3</w:t>
      </w:r>
      <w:r>
        <w:rPr/>
        <w:t xml:space="preserve"> w ilości &lt;20 kg/h (maksymalne zużycie &lt;50 kg/h), </w:t>
      </w:r>
    </w:p>
    <w:p>
      <w:pPr>
        <w:pStyle w:val="Normal"/>
        <w:numPr>
          <w:ilvl w:val="0"/>
          <w:numId w:val="34"/>
        </w:numPr>
        <w:rPr/>
      </w:pPr>
      <w:r>
        <w:rPr/>
        <w:t>węgiel aktywny w ilości &lt;3 kg/h (maksymalne zużycie &lt;5 kg/h).</w:t>
      </w:r>
    </w:p>
    <w:p>
      <w:pPr>
        <w:pStyle w:val="Normal"/>
        <w:rPr/>
      </w:pPr>
      <w:r>
        <w:rPr/>
        <w:t xml:space="preserve">Wykorzystanie materiałów będzie związane wyłącznie z procesem bieżącej eksploatacji instalacji i sprowadzać się będzie do zużywania olejów i smarów w niewielkich ilościach. </w:t>
      </w:r>
    </w:p>
    <w:p>
      <w:pPr>
        <w:pStyle w:val="Normal"/>
        <w:rPr>
          <w:szCs w:val="24"/>
        </w:rPr>
      </w:pPr>
      <w:r>
        <w:rPr>
          <w:szCs w:val="24"/>
        </w:rPr>
        <w:t xml:space="preserve">Uruchomienie instalacji następuje przy </w:t>
      </w:r>
      <w:r>
        <w:rPr/>
        <w:t>zastosowaniu</w:t>
      </w:r>
      <w:r>
        <w:rPr>
          <w:szCs w:val="24"/>
        </w:rPr>
        <w:t xml:space="preserve"> palnika rozpałkowego zasilanego olejem opałowym. Czas rozpalania każdego kotła wynosi do 72 godzin przy zużyciu oleju opałowego na poziomie 60</w:t>
        <w:noBreakHyphen/>
        <w:t>90 dm</w:t>
      </w:r>
      <w:r>
        <w:rPr>
          <w:szCs w:val="24"/>
          <w:vertAlign w:val="superscript"/>
        </w:rPr>
        <w:t>3</w:t>
      </w:r>
      <w:r>
        <w:rPr>
          <w:szCs w:val="24"/>
        </w:rPr>
        <w:t>/h na każdy kocioł.</w:t>
      </w:r>
    </w:p>
    <w:p>
      <w:pPr>
        <w:pStyle w:val="Normal"/>
        <w:rPr>
          <w:rFonts w:ascii="Arial" w:hAnsi="Arial" w:cs="Arial"/>
          <w:b/>
          <w:b/>
          <w:color w:val="00000A"/>
          <w:szCs w:val="22"/>
        </w:rPr>
      </w:pPr>
      <w:r>
        <w:rPr>
          <w:rFonts w:cs="Arial" w:ascii="Arial" w:hAnsi="Arial"/>
          <w:b/>
          <w:color w:val="00000A"/>
          <w:szCs w:val="22"/>
        </w:rPr>
      </w:r>
    </w:p>
    <w:p>
      <w:pPr>
        <w:pStyle w:val="Nagwek3"/>
        <w:numPr>
          <w:ilvl w:val="2"/>
          <w:numId w:val="2"/>
        </w:numPr>
        <w:ind w:hanging="851"/>
        <w:rPr/>
      </w:pPr>
      <w:bookmarkStart w:id="28" w:name="_Toc518331291"/>
      <w:r>
        <w:rPr/>
        <w:t>Spełnianie wymagań dotyczących prowadzenia procesu termicznego przekształcania odpadów</w:t>
      </w:r>
      <w:bookmarkEnd w:id="28"/>
      <w:r>
        <w:rPr/>
        <w:t xml:space="preserve"> </w:t>
      </w:r>
    </w:p>
    <w:p>
      <w:pPr>
        <w:pStyle w:val="Normal"/>
        <w:rPr>
          <w:szCs w:val="24"/>
        </w:rPr>
      </w:pPr>
      <w:r>
        <w:rPr>
          <w:szCs w:val="24"/>
        </w:rPr>
        <w:t xml:space="preserve">Wymagania dotyczące prowadzenia procesu termicznego przekształcania odpadów określa </w:t>
      </w:r>
      <w:r>
        <w:rPr>
          <w:i/>
          <w:szCs w:val="24"/>
        </w:rPr>
        <w:t>rozporządzenie Ministra Rozwoju z dnia 21 stycznia 2016 r. w sprawie wymagań dotyczących prowadzenia procesu termicznego przekształcania odpadów oraz sposobów postępowania z odpadami powstałymi w wyniku tego procesu</w:t>
      </w:r>
      <w:r>
        <w:rPr>
          <w:szCs w:val="24"/>
        </w:rPr>
        <w:t xml:space="preserve"> (Dz.U.2016.108).</w:t>
      </w:r>
    </w:p>
    <w:p>
      <w:pPr>
        <w:pStyle w:val="Normal"/>
        <w:rPr>
          <w:szCs w:val="24"/>
        </w:rPr>
      </w:pPr>
      <w:r>
        <w:rPr>
          <w:szCs w:val="24"/>
        </w:rPr>
        <w:t xml:space="preserve">Przepisy częściowo rozdzielają wymagania dla spalarni i współspalarni odpadów. </w:t>
        <w:br/>
        <w:t>W analizowanym przypadku mamy do czynienia ze współspalarnią odpadów, jednak ze względu na to, że biomasa będzie stanowiła tylko niewielką część spalanego paliwa wydaje się, że zasadne jest odniesienie się do wymagań stawianych spalarniom odpadów.</w:t>
      </w:r>
    </w:p>
    <w:p>
      <w:pPr>
        <w:pStyle w:val="Normal"/>
        <w:rPr>
          <w:szCs w:val="24"/>
        </w:rPr>
      </w:pPr>
      <w:r>
        <w:rPr>
          <w:szCs w:val="24"/>
        </w:rPr>
        <w:t>Proces termicznego przekształcania odpadów w spalarni prowadzi się w taki sposób, aby temperatura gazów powstających w trakcie spalania, zmierzona blisko ściany wewnętrznej lub w innym reprezentatywnym miejscu komory spalania, wynikającym ze specyfiki technicznej instalacji, po ostatnim doprowadzeniu powietrza, nawet w najbardziej niekorzystnych warunkach, została podniesiona w kontrolowany i jednorodny sposób oraz była utrzymywana przez co najmniej 2 sekundy na poziomie nie niższym niż:</w:t>
      </w:r>
    </w:p>
    <w:p>
      <w:pPr>
        <w:pStyle w:val="Normal"/>
        <w:numPr>
          <w:ilvl w:val="0"/>
          <w:numId w:val="34"/>
        </w:numPr>
        <w:rPr/>
      </w:pPr>
      <w:r>
        <w:rPr/>
        <w:t>1100°C - dla odpadów niebezpiecznych zawierających powyżej 1% związków chlorowcoorganicznych przeliczonych na chlor,</w:t>
      </w:r>
    </w:p>
    <w:p>
      <w:pPr>
        <w:pStyle w:val="Normal"/>
        <w:numPr>
          <w:ilvl w:val="0"/>
          <w:numId w:val="34"/>
        </w:numPr>
        <w:rPr/>
      </w:pPr>
      <w:r>
        <w:rPr/>
        <w:t>850°C - dla pozostałych odpadów.</w:t>
      </w:r>
    </w:p>
    <w:p>
      <w:pPr>
        <w:pStyle w:val="Normal"/>
        <w:rPr>
          <w:szCs w:val="24"/>
        </w:rPr>
      </w:pPr>
      <w:r>
        <w:rPr>
          <w:szCs w:val="24"/>
        </w:rPr>
        <w:t>Proces przeprowadzany w spalarni odpadów prowadzi się w taki sposób, aby całkowita zawartość węgla organicznego w żużlach i popiołach paleniskowych była niższa niż 3% lub strata przy prażeniu żużli i popiołów paleniskowych była niższa niż 5% suchej masy. Jeżeli jest to niezbędne dla osiągnięcia tych wartości, przeprowadza się wstępną obróbkę odpadów.</w:t>
      </w:r>
    </w:p>
    <w:p>
      <w:pPr>
        <w:pStyle w:val="Normal"/>
        <w:rPr/>
      </w:pPr>
      <w:r>
        <w:rPr>
          <w:szCs w:val="24"/>
        </w:rPr>
        <w:t>Spalarnie odpadów oraz współspalarnie odpadów wyposaża się w:</w:t>
      </w:r>
    </w:p>
    <w:p>
      <w:pPr>
        <w:pStyle w:val="Normal"/>
        <w:numPr>
          <w:ilvl w:val="0"/>
          <w:numId w:val="37"/>
        </w:numPr>
        <w:ind w:left="737" w:hanging="340"/>
        <w:rPr>
          <w:szCs w:val="24"/>
        </w:rPr>
      </w:pPr>
      <w:r>
        <w:rPr>
          <w:szCs w:val="24"/>
        </w:rPr>
        <w:t>automatyczny system podawania odpadów, pozwalający na zatrzymanie ich podawania:</w:t>
      </w:r>
    </w:p>
    <w:p>
      <w:pPr>
        <w:pStyle w:val="Normal"/>
        <w:numPr>
          <w:ilvl w:val="0"/>
          <w:numId w:val="36"/>
        </w:numPr>
        <w:rPr>
          <w:szCs w:val="24"/>
        </w:rPr>
      </w:pPr>
      <w:r>
        <w:rPr>
          <w:szCs w:val="24"/>
        </w:rPr>
        <w:t>podczas rozruchu, do czasu osiągnięcia wymaganej temperatury,</w:t>
      </w:r>
    </w:p>
    <w:p>
      <w:pPr>
        <w:pStyle w:val="Normal"/>
        <w:numPr>
          <w:ilvl w:val="0"/>
          <w:numId w:val="36"/>
        </w:numPr>
        <w:rPr>
          <w:szCs w:val="24"/>
        </w:rPr>
      </w:pPr>
      <w:r>
        <w:rPr>
          <w:szCs w:val="24"/>
        </w:rPr>
        <w:t>podczas procesu, w razie nieosiągnięcia wymaganej temperatury,</w:t>
      </w:r>
    </w:p>
    <w:p>
      <w:pPr>
        <w:pStyle w:val="Normal"/>
        <w:numPr>
          <w:ilvl w:val="0"/>
          <w:numId w:val="36"/>
        </w:numPr>
        <w:rPr>
          <w:szCs w:val="24"/>
        </w:rPr>
      </w:pPr>
      <w:r>
        <w:rPr>
          <w:szCs w:val="24"/>
        </w:rPr>
        <w:t>w przypadku, gdy ciągłe pomiary pokazują, że jakakolwiek dopuszczalna wielkość emisji została przekroczona z powodu zakłóceń lub awarii urządzeń ochronnych ograniczających emisję do powietrza,</w:t>
      </w:r>
    </w:p>
    <w:p>
      <w:pPr>
        <w:pStyle w:val="Normal"/>
        <w:numPr>
          <w:ilvl w:val="0"/>
          <w:numId w:val="37"/>
        </w:numPr>
        <w:ind w:left="737" w:hanging="340"/>
        <w:rPr>
          <w:szCs w:val="24"/>
        </w:rPr>
      </w:pPr>
      <w:r>
        <w:rPr>
          <w:szCs w:val="24"/>
        </w:rPr>
        <w:t>urządzenia techniczne służące do odprowadzania gazów spalinowych do powietrza, gwarantujące dotrzymanie standardów emisyjnych, określonych w odrębnych przepisach,</w:t>
      </w:r>
    </w:p>
    <w:p>
      <w:pPr>
        <w:pStyle w:val="Normal"/>
        <w:numPr>
          <w:ilvl w:val="0"/>
          <w:numId w:val="37"/>
        </w:numPr>
        <w:ind w:left="737" w:hanging="340"/>
        <w:rPr>
          <w:szCs w:val="24"/>
        </w:rPr>
      </w:pPr>
      <w:r>
        <w:rPr>
          <w:szCs w:val="24"/>
        </w:rPr>
        <w:t>urządzenia techniczne służące do odzysku energii powstającej w procesie, jeżeli taki odzysk energii jest wykonalny,</w:t>
      </w:r>
    </w:p>
    <w:p>
      <w:pPr>
        <w:pStyle w:val="Normal"/>
        <w:numPr>
          <w:ilvl w:val="0"/>
          <w:numId w:val="37"/>
        </w:numPr>
        <w:ind w:left="737" w:hanging="340"/>
        <w:rPr>
          <w:szCs w:val="24"/>
        </w:rPr>
      </w:pPr>
      <w:r>
        <w:rPr>
          <w:szCs w:val="24"/>
        </w:rPr>
        <w:t>urządzenia techniczne służące do ochrony przed zanieczyszczeniami gleby i ziemi oraz wód powierzchniowych i podziemnych, w szczególności w uszczelnione i nieprzepuszczalne podłoże z systemem do gromadzenia ewentualnych odcieków, o pojemności zapewniającej możliwość badania i oczyszczania odcieków przed ich odprowadzeniem,</w:t>
      </w:r>
    </w:p>
    <w:p>
      <w:pPr>
        <w:pStyle w:val="Normal"/>
        <w:numPr>
          <w:ilvl w:val="0"/>
          <w:numId w:val="37"/>
        </w:numPr>
        <w:ind w:left="737" w:hanging="340"/>
        <w:rPr>
          <w:szCs w:val="24"/>
        </w:rPr>
      </w:pPr>
      <w:r>
        <w:rPr>
          <w:szCs w:val="24"/>
        </w:rPr>
        <w:t>urządzenia techniczne służące do magazynowania odpadów powstałych w wyniku procesu.</w:t>
      </w:r>
    </w:p>
    <w:p>
      <w:pPr>
        <w:pStyle w:val="Normal"/>
        <w:rPr>
          <w:szCs w:val="24"/>
        </w:rPr>
      </w:pPr>
      <w:r>
        <w:rPr>
          <w:szCs w:val="24"/>
        </w:rPr>
        <w:t>Spalarnie odpadów wyposaża się dodatkowo w co najmniej jeden palnik pomocniczy w każdej komorze spalania odpadów:</w:t>
      </w:r>
    </w:p>
    <w:p>
      <w:pPr>
        <w:pStyle w:val="Normal"/>
        <w:numPr>
          <w:ilvl w:val="0"/>
          <w:numId w:val="38"/>
        </w:numPr>
        <w:rPr>
          <w:szCs w:val="24"/>
        </w:rPr>
      </w:pPr>
      <w:r>
        <w:rPr>
          <w:szCs w:val="24"/>
        </w:rPr>
        <w:t>włączający się automatycznie, jeżeli temperatura gazów spalinowych po ostatnim doprowadzeniu powietrza spadnie poniżej temperatury 1100°C - dla odpadów niebezpiecznych zawierających powyżej 1% związków chlorowcoorganicznych przeliczonych na chlor, oraz 850°C - dla pozostałych odpadów,</w:t>
      </w:r>
    </w:p>
    <w:p>
      <w:pPr>
        <w:pStyle w:val="Normal"/>
        <w:numPr>
          <w:ilvl w:val="0"/>
          <w:numId w:val="38"/>
        </w:numPr>
        <w:ind w:left="709" w:hanging="312"/>
        <w:rPr>
          <w:szCs w:val="24"/>
        </w:rPr>
      </w:pPr>
      <w:r>
        <w:rPr>
          <w:szCs w:val="24"/>
        </w:rPr>
        <w:t>używany także w czasie rozruchu i wyłączenia spalarni odpadów w celu zapewnienia utrzymania powyższej temperatury przez cały czas wykonywania tych operacji i tak długo, jak niespalone odpady znajdują się w komorze spalania.</w:t>
      </w:r>
    </w:p>
    <w:p>
      <w:pPr>
        <w:pStyle w:val="Normal"/>
        <w:rPr>
          <w:szCs w:val="24"/>
        </w:rPr>
      </w:pPr>
      <w:r>
        <w:rPr>
          <w:szCs w:val="24"/>
        </w:rPr>
        <w:t>Do palnika pomocniczego nie podaje się paliw, które mogą spowodować wyższe emisje niż powstające w wyniku spalania oleju napędowego, gazu płynnego lub gazu ziemnego.</w:t>
      </w:r>
    </w:p>
    <w:p>
      <w:pPr>
        <w:pStyle w:val="Normal"/>
        <w:rPr>
          <w:szCs w:val="24"/>
        </w:rPr>
      </w:pPr>
      <w:r>
        <w:rPr>
          <w:szCs w:val="24"/>
        </w:rPr>
        <w:t>Ciepło wytworzone w trakcie procesu termicznego przekształcania odpadów jest odzyskiwane w zakresie, w jakim jest to wykonalne, przez produkcję ciepła, wytwarzanie pary technologicznej lub energii elektrycznej.</w:t>
      </w:r>
    </w:p>
    <w:p>
      <w:pPr>
        <w:pStyle w:val="Normal"/>
        <w:rPr>
          <w:szCs w:val="24"/>
        </w:rPr>
      </w:pPr>
      <w:r>
        <w:rPr>
          <w:szCs w:val="24"/>
        </w:rPr>
        <w:t>Podczas prowadzenia procesu w komorze spalania prowadzi się ciągły pomiar:</w:t>
      </w:r>
    </w:p>
    <w:p>
      <w:pPr>
        <w:pStyle w:val="Normal"/>
        <w:numPr>
          <w:ilvl w:val="0"/>
          <w:numId w:val="39"/>
        </w:numPr>
        <w:rPr>
          <w:szCs w:val="24"/>
        </w:rPr>
      </w:pPr>
      <w:r>
        <w:rPr>
          <w:szCs w:val="24"/>
        </w:rPr>
        <w:t>temperatury gazów spalinowych, mierzonej blisko ściany wewnętrznej lub w innym reprezentatywnym miejscu komory spalania, w sposób eliminujący wpływ promieniowania cieplnego płomienia,</w:t>
      </w:r>
    </w:p>
    <w:p>
      <w:pPr>
        <w:pStyle w:val="Normal"/>
        <w:numPr>
          <w:ilvl w:val="0"/>
          <w:numId w:val="39"/>
        </w:numPr>
        <w:rPr>
          <w:szCs w:val="24"/>
        </w:rPr>
      </w:pPr>
      <w:r>
        <w:rPr>
          <w:szCs w:val="24"/>
        </w:rPr>
        <w:t>stężenia tlenu w gazach spalinowych,</w:t>
      </w:r>
    </w:p>
    <w:p>
      <w:pPr>
        <w:pStyle w:val="Normal"/>
        <w:numPr>
          <w:ilvl w:val="0"/>
          <w:numId w:val="39"/>
        </w:numPr>
        <w:rPr>
          <w:szCs w:val="24"/>
        </w:rPr>
      </w:pPr>
      <w:r>
        <w:rPr>
          <w:szCs w:val="24"/>
        </w:rPr>
        <w:t>ciśnienia gazów spalinowych.</w:t>
      </w:r>
    </w:p>
    <w:p>
      <w:pPr>
        <w:pStyle w:val="Normal"/>
        <w:rPr>
          <w:szCs w:val="24"/>
        </w:rPr>
      </w:pPr>
      <w:r>
        <w:rPr>
          <w:szCs w:val="24"/>
        </w:rPr>
        <w:t xml:space="preserve">Czas przebywania gazów spalinowych w wymaganej temperaturze oraz zawartość tlenu </w:t>
        <w:br/>
        <w:t>w gazach spalinowych podlegają weryfikacji podczas rozruchu i po każdej modernizacji spalarni odpadów.</w:t>
      </w:r>
    </w:p>
    <w:p>
      <w:pPr>
        <w:pStyle w:val="Normal"/>
        <w:rPr>
          <w:szCs w:val="24"/>
        </w:rPr>
      </w:pPr>
      <w:r>
        <w:rPr>
          <w:szCs w:val="24"/>
        </w:rPr>
        <w:t>W przypadku gdy techniki pomiarowe zastosowane do poboru i analizy składu gazów spalinowych nie obejmują osuszania gazów przed ich analizą, proces monitoruje się także w zakresie zawartości pary wodnej w gazach spalinowych.</w:t>
      </w:r>
    </w:p>
    <w:p>
      <w:pPr>
        <w:pStyle w:val="Normal"/>
        <w:rPr>
          <w:szCs w:val="24"/>
        </w:rPr>
      </w:pPr>
      <w:r>
        <w:rPr>
          <w:szCs w:val="24"/>
        </w:rPr>
        <w:t xml:space="preserve">Warunki prowadzenia procesu termicznego przetwarzania odpadów w warunkach przekraczania obowiązujących standardów emisyjnych zostały opisane w punkcie 2.4.5. </w:t>
      </w:r>
    </w:p>
    <w:p>
      <w:pPr>
        <w:pStyle w:val="Normal"/>
        <w:rPr>
          <w:szCs w:val="24"/>
        </w:rPr>
      </w:pPr>
      <w:r>
        <w:rPr>
          <w:szCs w:val="24"/>
        </w:rPr>
        <w:t>Proces oraz transport i magazynowanie odpadów powstałych w wyniku procesu prowadzi się w taki sposób, aby zapobiec niedozwolonemu lub przypadkowemu uwolnieniu substancji zanieczyszczających do gleby i ziemi, wód powierzchniowych i wód podziemnych.</w:t>
      </w:r>
    </w:p>
    <w:p>
      <w:pPr>
        <w:pStyle w:val="Normal"/>
        <w:rPr>
          <w:szCs w:val="24"/>
        </w:rPr>
      </w:pPr>
      <w:r>
        <w:rPr>
          <w:szCs w:val="24"/>
        </w:rPr>
        <w:t>Proces prowadzi się w taki sposób, aby zminimalizować ilość i szkodliwość odpadów powstałych w jego wyniku.</w:t>
      </w:r>
    </w:p>
    <w:p>
      <w:pPr>
        <w:pStyle w:val="Normal"/>
        <w:rPr>
          <w:szCs w:val="24"/>
        </w:rPr>
      </w:pPr>
      <w:r>
        <w:rPr>
          <w:szCs w:val="24"/>
        </w:rPr>
        <w:t>Odpady powstałe w wyniku procesu poddaje się odzyskowi, a w przypadku braku takiej możliwości - unieszkodliwia się je ze szczególnym uwzględnieniem frakcji metali ciężkich.</w:t>
      </w:r>
    </w:p>
    <w:p>
      <w:pPr>
        <w:pStyle w:val="Normal"/>
        <w:rPr>
          <w:szCs w:val="24"/>
        </w:rPr>
      </w:pPr>
      <w:r>
        <w:rPr>
          <w:szCs w:val="24"/>
        </w:rPr>
        <w:t>W szczególności dopuszcza się wykorzystanie odpadów powstałych w procesie termicznego przekształcania do sporządzania mieszanek betonowych na potrzeby budownictwa, z wyłączeniem budynków przeznaczonych do stałego przebywania ludzi lub zwierząt oraz do produkcji lub magazynowania żywności. W takim wypadku stężenie metali ciężkich w wyciągach wodnych z badania wymywalności tych metali z próbek mieszanek betonowych nie może przekroczyć 10 mg/dm</w:t>
      </w:r>
      <w:r>
        <w:rPr>
          <w:szCs w:val="24"/>
          <w:vertAlign w:val="superscript"/>
        </w:rPr>
        <w:t>3</w:t>
      </w:r>
      <w:r>
        <w:rPr>
          <w:szCs w:val="24"/>
        </w:rPr>
        <w:t xml:space="preserve"> łącznie w przeliczeniu na masę pierwiastków. Badanie wymywalności metali ciężkich z wyrobów betonowych, zawierających unieszkodliwione odpady niebezpieczne z procesu spalania odpadów przeprowadza się przez całkowite zanurzenie </w:t>
        <w:br/>
        <w:t xml:space="preserve">w wodzie próbki badanego materiału i utrzymanie jej przez 48 godzin przy stałym mieszaniu; do badania używa się wody niezawierającej chloru, o temperaturze w granicach 18°-22°C </w:t>
        <w:br/>
        <w:t>i twardości w granicach 3-6 mval/dm</w:t>
      </w:r>
      <w:r>
        <w:rPr>
          <w:szCs w:val="24"/>
          <w:vertAlign w:val="superscript"/>
        </w:rPr>
        <w:t>3</w:t>
      </w:r>
      <w:r>
        <w:rPr>
          <w:szCs w:val="24"/>
        </w:rPr>
        <w:t>; stosunek wagowy wody do materiału badanego powinien wynosić 10:1.</w:t>
      </w:r>
    </w:p>
    <w:p>
      <w:pPr>
        <w:pStyle w:val="Normal"/>
        <w:rPr>
          <w:szCs w:val="24"/>
        </w:rPr>
      </w:pPr>
      <w:r>
        <w:rPr>
          <w:szCs w:val="24"/>
        </w:rPr>
        <w:t xml:space="preserve">Zgodnie z informacjami dostarczonymi przez dostawcę, instalacja planowana w ramach przedsięwzięcia spełnia wymagania dotyczące prowadzenia procesu termicznego przekształcania odpadów. Informacje dotyczące spełniania wymagań opierają się na materiałach źródłowych dla instalacji badawczej do termicznego przekształcania odpadów o mocy 1,2 MW. </w:t>
        <w:br/>
        <w:t>W ramach realizacji planowanego przedsięwzięcia planuje się montaż analogicznych linii technologicznych o większej mocy. Zestawienie wymagań i ich spełnienie przedstawia tabela 6.</w:t>
      </w:r>
    </w:p>
    <w:p>
      <w:pPr>
        <w:pStyle w:val="Normal"/>
        <w:rPr>
          <w:szCs w:val="24"/>
        </w:rPr>
      </w:pPr>
      <w:r>
        <w:rPr>
          <w:szCs w:val="24"/>
        </w:rPr>
      </w:r>
    </w:p>
    <w:p>
      <w:pPr>
        <w:pStyle w:val="Nagwek2"/>
        <w:numPr>
          <w:ilvl w:val="1"/>
          <w:numId w:val="2"/>
        </w:numPr>
        <w:ind w:hanging="578"/>
        <w:rPr/>
      </w:pPr>
      <w:bookmarkStart w:id="29" w:name="_Toc518331292"/>
      <w:bookmarkEnd w:id="29"/>
      <w:r>
        <w:rPr/>
        <w:t>Rodzaje i ilości emisji, w tym odpadów, wynikające z funkcjonowania planowanego przedsięwzięcia</w:t>
      </w:r>
    </w:p>
    <w:p>
      <w:pPr>
        <w:pStyle w:val="Nagwek3"/>
        <w:numPr>
          <w:ilvl w:val="2"/>
          <w:numId w:val="2"/>
        </w:numPr>
        <w:ind w:hanging="851"/>
        <w:rPr/>
      </w:pPr>
      <w:bookmarkStart w:id="30" w:name="_Toc518331293"/>
      <w:r>
        <w:rPr/>
        <w:t>Etap realizacji</w:t>
      </w:r>
      <w:bookmarkEnd w:id="30"/>
      <w:r>
        <w:rPr/>
        <w:t xml:space="preserve"> </w:t>
      </w:r>
    </w:p>
    <w:p>
      <w:pPr>
        <w:pStyle w:val="Normal"/>
        <w:rPr>
          <w:szCs w:val="24"/>
        </w:rPr>
      </w:pPr>
      <w:r>
        <w:rPr>
          <w:szCs w:val="24"/>
        </w:rPr>
        <w:t>Z fazą budowy zakładu związana będzie emisja zanieczyszczeń do powietrza oraz emisja hałasu od pracujących maszyn i wykonywanych prac budowlanych, rozbiórkowych i montażowych. Powstaną także odpady wynikające z prowadzenia procesu budowlanego oraz ścieki z zaplecza budowy.</w:t>
      </w:r>
    </w:p>
    <w:p>
      <w:pPr>
        <w:pStyle w:val="Normal"/>
        <w:rPr>
          <w:szCs w:val="24"/>
        </w:rPr>
      </w:pPr>
      <w:r>
        <w:rPr>
          <w:szCs w:val="24"/>
        </w:rPr>
      </w:r>
    </w:p>
    <w:p>
      <w:pPr>
        <w:pStyle w:val="Nagwek4"/>
        <w:numPr>
          <w:ilvl w:val="3"/>
          <w:numId w:val="2"/>
        </w:numPr>
        <w:ind w:hanging="992"/>
        <w:rPr/>
      </w:pPr>
      <w:r>
        <w:rPr/>
        <w:t xml:space="preserve">Emisje zanieczyszczeń do powietrza atmosferycznego </w:t>
      </w:r>
    </w:p>
    <w:p>
      <w:pPr>
        <w:pStyle w:val="Normal"/>
        <w:rPr>
          <w:szCs w:val="24"/>
        </w:rPr>
      </w:pPr>
      <w:r>
        <w:rPr>
          <w:szCs w:val="24"/>
        </w:rPr>
        <w:t xml:space="preserve">Głównymi źródłami zanieczyszczeń na terenie przewidzianym pod inwestycję w jej fazie realizacji będą prace budowlane. Eksploatacja pojazdów samochodowych oraz maszyn budowlanych będzie generować zanieczyszczenia pochodzące ze spalania paliw w silnikach </w:t>
        <w:br/>
        <w:t xml:space="preserve">(m. in. tlenki azotu, dwutlenek siarki, tlenek węgla, węglowodory alifatyczne). Eksploatacja maszyn, środków transportu oraz prace rozbiórkowe będą także źródłem pylenia. Emisja zanieczyszczeń będzie zachodzić w większości na małej wysokości, co znacznie ograniczy rozprzestrzenianie się zanieczyszczeń w poziomie. Biorąc pod uwagę lokalizacje dróg dojazdowych oraz proponowanych rejonów prac budowlanych i organizacji prac, uciążliwość dla powietrza związana z budową będzie niewielka i ograniczy się do granicy terenu inwestycji. Można więc stwierdzić, że wpływ emisji na powietrze atmosferyczne będzie miał charakter lokalny, związany z miejscem powstawania (teren budowy oraz drogi dojazdowe).  </w:t>
      </w:r>
    </w:p>
    <w:p>
      <w:pPr>
        <w:pStyle w:val="Normal"/>
        <w:rPr>
          <w:szCs w:val="24"/>
        </w:rPr>
      </w:pPr>
      <w:r>
        <w:rPr>
          <w:szCs w:val="24"/>
        </w:rPr>
        <w:t xml:space="preserve">Szacuje się, że największe natężenie prac będzie miało miejsce podczas pierwszej fazy rozbiórki i budowy planowanych obiektów (około 2 miesiące). W miarę wzrostu zaawansowania realizacji inwestycji uciążliwości te będą maleć. W dalszych etapach budowy będą miały miejsce: rozruch instalacji i pomiary oraz odbiory techniczne. </w:t>
      </w:r>
    </w:p>
    <w:p>
      <w:pPr>
        <w:pStyle w:val="Normal"/>
        <w:rPr>
          <w:szCs w:val="24"/>
        </w:rPr>
      </w:pPr>
      <w:r>
        <w:rPr>
          <w:szCs w:val="24"/>
        </w:rPr>
        <w:t xml:space="preserve">W związku z tym, oddziaływanie przedsięwzięcia na powietrze atmosferyczne w fazie realizacji nie będzie stanowiło istotnej uciążliwości, a także nie spowoduje zmian jakości powietrza na terenie sąsiadującym z zakładem. Ze względu na lokalny charakter oddziaływań budowa zakładu nie będzie również stanowić zagrożenia dla życia i zdrowia okolicznych mieszkańców. </w:t>
      </w:r>
    </w:p>
    <w:p>
      <w:pPr>
        <w:pStyle w:val="Normal"/>
        <w:rPr>
          <w:szCs w:val="24"/>
        </w:rPr>
      </w:pPr>
      <w:r>
        <w:rPr>
          <w:szCs w:val="24"/>
        </w:rPr>
        <w:t xml:space="preserve">Analiza przedstawionych dotychczas informacji i danych pozwala na podstawowe stwierdzenie, ze w trakcie realizacji inwestycji wystąpią źródła emisji niezorganizowanej, związane głównie z transportem materiałów budowlanych oraz pracą maszyn budowlanych. </w:t>
      </w:r>
    </w:p>
    <w:p>
      <w:pPr>
        <w:sectPr>
          <w:headerReference w:type="even" r:id="rId10"/>
          <w:headerReference w:type="default" r:id="rId11"/>
          <w:footerReference w:type="even" r:id="rId12"/>
          <w:footerReference w:type="default" r:id="rId13"/>
          <w:footerReference w:type="first" r:id="rId14"/>
          <w:footnotePr>
            <w:numFmt w:val="decimal"/>
          </w:footnotePr>
          <w:type w:val="nextPage"/>
          <w:pgSz w:w="11906" w:h="16838"/>
          <w:pgMar w:left="1418" w:right="1134" w:header="709" w:top="1418" w:footer="709" w:bottom="1304" w:gutter="0"/>
          <w:pgNumType w:fmt="decimal"/>
          <w:formProt w:val="false"/>
          <w:titlePg/>
          <w:textDirection w:val="lrTb"/>
          <w:docGrid w:type="default" w:linePitch="360" w:charSpace="4294961151"/>
        </w:sectPr>
        <w:pStyle w:val="Normal"/>
        <w:rPr>
          <w:szCs w:val="24"/>
        </w:rPr>
      </w:pPr>
      <w:r>
        <w:rPr>
          <w:szCs w:val="24"/>
        </w:rPr>
        <w:t xml:space="preserve">Analiza danych dotyczących ilości samochodów i maszyn budowlanych oraz ich lokalizacja wskazują, że uciążliwość z tego tytułu będzie miała charakter lokalny oraz będzie zmienna </w:t>
        <w:br/>
        <w:t>w czasie i przestrzeni, a oddziaływanie nie będzie powodować przekroczeń wielkości dopuszczalnych poza granicami obiektu.</w:t>
      </w:r>
    </w:p>
    <w:p>
      <w:pPr>
        <w:pStyle w:val="Caption"/>
        <w:keepNext/>
        <w:jc w:val="left"/>
        <w:rPr/>
      </w:pPr>
      <w:r>
        <w:rPr/>
        <w:t xml:space="preserve">Tabela </w:t>
      </w:r>
      <w:r>
        <w:rPr/>
        <w:fldChar w:fldCharType="begin"/>
      </w:r>
      <w:r>
        <w:instrText> SEQ Tabela \* ARABIC </w:instrText>
      </w:r>
      <w:r>
        <w:fldChar w:fldCharType="separate"/>
      </w:r>
      <w:r>
        <w:t>6</w:t>
      </w:r>
      <w:r>
        <w:fldChar w:fldCharType="end"/>
      </w:r>
      <w:r>
        <w:rPr/>
        <w:t>.</w:t>
      </w:r>
      <w:r>
        <w:rPr>
          <w:b w:val="false"/>
        </w:rPr>
        <w:t xml:space="preserve"> Wymagania prowadzenia procesu termicznego przekształcania odpadów i ich spełnianie przez planowane przedsięwzięcie</w:t>
      </w:r>
    </w:p>
    <w:tbl>
      <w:tblPr>
        <w:tblW w:w="14850"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485"/>
        <w:gridCol w:w="7136"/>
        <w:gridCol w:w="7229"/>
      </w:tblGrid>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sz w:val="18"/>
                <w:szCs w:val="18"/>
              </w:rPr>
            </w:pPr>
            <w:r>
              <w:rPr>
                <w:rFonts w:cs="Arial" w:ascii="Arial" w:hAnsi="Arial"/>
                <w:b/>
                <w:sz w:val="18"/>
                <w:szCs w:val="18"/>
              </w:rPr>
              <w:t>Lp.</w:t>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sz w:val="18"/>
                <w:szCs w:val="18"/>
              </w:rPr>
            </w:pPr>
            <w:r>
              <w:rPr>
                <w:rFonts w:cs="Arial" w:ascii="Arial" w:hAnsi="Arial"/>
                <w:b/>
                <w:sz w:val="18"/>
                <w:szCs w:val="18"/>
              </w:rPr>
              <w:t>Wymagania prowadzenia procesu zgodnie z rozporządzeniem Ministra Rozwoju z dnia 21 stycznia 2016 r.</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sz w:val="18"/>
                <w:szCs w:val="18"/>
              </w:rPr>
            </w:pPr>
            <w:r>
              <w:rPr>
                <w:rFonts w:cs="Arial" w:ascii="Arial" w:hAnsi="Arial"/>
                <w:b/>
                <w:sz w:val="18"/>
                <w:szCs w:val="18"/>
              </w:rPr>
              <w:t>Spełnienie wymagania w planowanym przedsięwzięciu.</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Temperatura spalin jest utrzymywana przez co najmniej 2 sekundy na poziomie nie niższym niż:</w:t>
            </w:r>
          </w:p>
          <w:p>
            <w:pPr>
              <w:pStyle w:val="Normal"/>
              <w:numPr>
                <w:ilvl w:val="0"/>
                <w:numId w:val="54"/>
              </w:numPr>
              <w:spacing w:before="40" w:after="40"/>
              <w:jc w:val="left"/>
              <w:rPr>
                <w:rFonts w:ascii="Arial" w:hAnsi="Arial" w:cs="Arial"/>
                <w:sz w:val="18"/>
                <w:szCs w:val="18"/>
              </w:rPr>
            </w:pPr>
            <w:r>
              <w:rPr>
                <w:rFonts w:cs="Arial" w:ascii="Arial" w:hAnsi="Arial"/>
                <w:sz w:val="18"/>
                <w:szCs w:val="18"/>
              </w:rPr>
              <w:t>1100°C - dla odpadów niebezpiecznych zawierających powyżej 1% związków chlorowcoorganicznych przeliczonych na chlor,</w:t>
            </w:r>
          </w:p>
          <w:p>
            <w:pPr>
              <w:pStyle w:val="Normal"/>
              <w:numPr>
                <w:ilvl w:val="0"/>
                <w:numId w:val="54"/>
              </w:numPr>
              <w:spacing w:before="40" w:after="40"/>
              <w:jc w:val="left"/>
              <w:rPr>
                <w:rFonts w:ascii="Arial" w:hAnsi="Arial" w:cs="Arial"/>
                <w:sz w:val="18"/>
                <w:szCs w:val="18"/>
              </w:rPr>
            </w:pPr>
            <w:r>
              <w:rPr>
                <w:rFonts w:cs="Arial" w:ascii="Arial" w:hAnsi="Arial"/>
                <w:sz w:val="18"/>
                <w:szCs w:val="18"/>
              </w:rPr>
              <w:t>850°C - dla pozostałych odpadów;</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 xml:space="preserve">Zgodnie z projektem, temperatura w komorze dopalania wynosi co najmniej 1100°C. Obliczenia dotyczące czasu przebywania spalin zawiera załącznik nr 3. Obliczenia zostały wykonane dla instalacji referencyjnej o mocy użytecznej 1,2 MW. </w:t>
            </w:r>
          </w:p>
          <w:p>
            <w:pPr>
              <w:pStyle w:val="Normal"/>
              <w:spacing w:before="40" w:after="40"/>
              <w:ind w:hanging="0"/>
              <w:jc w:val="left"/>
              <w:rPr>
                <w:rFonts w:ascii="Arial" w:hAnsi="Arial" w:cs="Arial"/>
                <w:sz w:val="18"/>
                <w:szCs w:val="18"/>
              </w:rPr>
            </w:pPr>
            <w:r>
              <w:rPr>
                <w:rFonts w:cs="Arial" w:ascii="Arial" w:hAnsi="Arial"/>
                <w:sz w:val="18"/>
                <w:szCs w:val="18"/>
              </w:rPr>
              <w:t>Wykonanie badań potwierdzających spełnienie ww. wymogów dla wersji powiększonej pieca o mocy użytecznej 2,5 MW będzie możliwe po jego uruchomieniu.</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Całkowita zawartość węgla organicznego w żużlach i popiołach paleniskowych jest niższa niż 3% lub strata przy prażeniu żużli i popiołów paleniskowych jest niższa niż 5% suchej masy.</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 xml:space="preserve">Badania popiołów wykonane dla instalacji referencyjnej o mocy użytecznej 1,2 MW wykazały, że całkowita zawartość węgla wynosi poniżej 3% (załącznik nr 4). </w:t>
            </w:r>
          </w:p>
        </w:tc>
      </w:tr>
      <w:tr>
        <w:trPr/>
        <w:tc>
          <w:tcPr>
            <w:tcW w:w="48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right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Wyposażenie instalacji:</w:t>
            </w:r>
          </w:p>
        </w:tc>
        <w:tc>
          <w:tcPr>
            <w:tcW w:w="7229" w:type="dxa"/>
            <w:tcBorders>
              <w:top w:val="single" w:sz="4" w:space="0" w:color="00000A"/>
              <w:left w:val="single" w:sz="4" w:space="0" w:color="00000A"/>
              <w:right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r>
          </w:p>
        </w:tc>
      </w:tr>
      <w:tr>
        <w:trPr/>
        <w:tc>
          <w:tcPr>
            <w:tcW w:w="4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lineRule="auto" w:line="360" w:before="40" w:after="40"/>
              <w:ind w:left="0" w:hanging="0"/>
              <w:rPr>
                <w:rFonts w:ascii="Arial" w:hAnsi="Arial" w:cs="Arial"/>
                <w:color w:val="00000A"/>
                <w:sz w:val="18"/>
              </w:rPr>
            </w:pPr>
            <w:r>
              <w:rPr>
                <w:rFonts w:cs="Arial" w:ascii="Arial" w:hAnsi="Arial"/>
                <w:color w:val="00000A"/>
                <w:sz w:val="18"/>
              </w:rPr>
            </w:r>
          </w:p>
        </w:tc>
        <w:tc>
          <w:tcPr>
            <w:tcW w:w="7136" w:type="dxa"/>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Automatyczny system podawania odpadów, pozwalający na zatrzymanie ich podawania:</w:t>
            </w:r>
          </w:p>
          <w:p>
            <w:pPr>
              <w:pStyle w:val="Normal"/>
              <w:numPr>
                <w:ilvl w:val="0"/>
                <w:numId w:val="54"/>
              </w:numPr>
              <w:spacing w:before="40" w:after="40"/>
              <w:jc w:val="left"/>
              <w:rPr>
                <w:rFonts w:ascii="Arial" w:hAnsi="Arial" w:cs="Arial"/>
                <w:sz w:val="18"/>
                <w:szCs w:val="18"/>
              </w:rPr>
            </w:pPr>
            <w:r>
              <w:rPr>
                <w:rFonts w:cs="Arial" w:ascii="Arial" w:hAnsi="Arial"/>
                <w:sz w:val="18"/>
                <w:szCs w:val="18"/>
              </w:rPr>
              <w:t>podczas rozruchu, do czasu osiągnięcia wymaganej temperatury,</w:t>
            </w:r>
          </w:p>
          <w:p>
            <w:pPr>
              <w:pStyle w:val="Normal"/>
              <w:numPr>
                <w:ilvl w:val="0"/>
                <w:numId w:val="54"/>
              </w:numPr>
              <w:spacing w:before="40" w:after="40"/>
              <w:jc w:val="left"/>
              <w:rPr>
                <w:rFonts w:ascii="Arial" w:hAnsi="Arial" w:cs="Arial"/>
                <w:sz w:val="18"/>
                <w:szCs w:val="18"/>
              </w:rPr>
            </w:pPr>
            <w:r>
              <w:rPr>
                <w:rFonts w:cs="Arial" w:ascii="Arial" w:hAnsi="Arial"/>
                <w:sz w:val="18"/>
                <w:szCs w:val="18"/>
              </w:rPr>
              <w:t>podczas procesu, w razie nieosiągnięcia wymaganej temperatury,</w:t>
            </w:r>
          </w:p>
          <w:p>
            <w:pPr>
              <w:pStyle w:val="Normal"/>
              <w:numPr>
                <w:ilvl w:val="0"/>
                <w:numId w:val="54"/>
              </w:numPr>
              <w:spacing w:before="40" w:after="40"/>
              <w:jc w:val="left"/>
              <w:rPr>
                <w:rFonts w:ascii="Arial" w:hAnsi="Arial" w:cs="Arial"/>
                <w:sz w:val="18"/>
                <w:szCs w:val="18"/>
              </w:rPr>
            </w:pPr>
            <w:r>
              <w:rPr>
                <w:rFonts w:cs="Arial" w:ascii="Arial" w:hAnsi="Arial"/>
                <w:sz w:val="18"/>
                <w:szCs w:val="18"/>
              </w:rPr>
              <w:t>w przypadku, gdy ciągłe pomiary pokazują, że jakakolwiek dopuszczalna wielkość emisji została przekroczona z powodu zakłóceń lub awarii urządzeń ochronnych ograniczających emisję do powietrza.</w:t>
            </w:r>
          </w:p>
        </w:tc>
        <w:tc>
          <w:tcPr>
            <w:tcW w:w="7229" w:type="dxa"/>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 xml:space="preserve">Instalacja posiada automatyczny system podawania odpadów, który umożliwia zatrzymanie ich podawania w każdym momencie. </w:t>
            </w:r>
          </w:p>
          <w:p>
            <w:pPr>
              <w:pStyle w:val="Normal"/>
              <w:spacing w:before="40" w:after="40"/>
              <w:ind w:hanging="0"/>
              <w:jc w:val="left"/>
              <w:rPr>
                <w:rFonts w:ascii="Arial" w:hAnsi="Arial" w:cs="Arial"/>
                <w:sz w:val="18"/>
                <w:szCs w:val="18"/>
              </w:rPr>
            </w:pPr>
            <w:r>
              <w:rPr>
                <w:rFonts w:cs="Arial" w:ascii="Arial" w:hAnsi="Arial"/>
                <w:sz w:val="18"/>
                <w:szCs w:val="18"/>
              </w:rPr>
              <w:t>W przypadku stwierdzenia warunków prowadzenia procesu odbiegających od normalnych, następuje automatyczne odcięcie dopływu powietrza i jednoczesne zatrzymanie podawania odpadów.</w:t>
            </w:r>
          </w:p>
        </w:tc>
      </w:tr>
      <w:tr>
        <w:trPr/>
        <w:tc>
          <w:tcPr>
            <w:tcW w:w="4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Urządzenia techniczne służące do odprowadzania gazów spalinowych do powietrza, gwarantujące dotrzymanie standardów emisyjnych, określonych w odrębnych przepisach.</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Gazy spalinowe z instalacji są oczyszczane i odprowadzane do powietrza oddzielnym emitorem. Wyniki badań emisji z instalacji referencyjnej o mocy użytecznej 1,2 MW potwierdzają spełnianie standardów emisyjnych.</w:t>
            </w:r>
          </w:p>
        </w:tc>
      </w:tr>
      <w:tr>
        <w:trPr/>
        <w:tc>
          <w:tcPr>
            <w:tcW w:w="4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Urządzenia techniczne służące do ochrony przed zanieczyszczeniami gleby i ziemi oraz wód powierzchniowych i podziemnych, w szczególności w uszczelnione i nieprzepuszczalne podłoże z systemem do gromadzenia ewentualnych odcieków, o pojemności zapewniającej możliwość badania i oczyszczania odcieków przed ich odprowadzeniem.</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 xml:space="preserve">Wszystkie elementy instalacji termicznego przekształcania odpadów będą się znajdowały wewnątrz budynku. Podłogi zostaną wykonane ze szczelnych i nieprzepuszczalnych mieszanek betonowych. </w:t>
            </w:r>
          </w:p>
          <w:p>
            <w:pPr>
              <w:pStyle w:val="Normal"/>
              <w:spacing w:before="40" w:after="40"/>
              <w:ind w:hanging="0"/>
              <w:jc w:val="left"/>
              <w:rPr>
                <w:rFonts w:ascii="Arial" w:hAnsi="Arial" w:cs="Arial"/>
                <w:sz w:val="18"/>
                <w:szCs w:val="18"/>
              </w:rPr>
            </w:pPr>
            <w:r>
              <w:rPr>
                <w:rFonts w:cs="Arial" w:ascii="Arial" w:hAnsi="Arial"/>
                <w:sz w:val="18"/>
                <w:szCs w:val="18"/>
              </w:rPr>
              <w:t>Pomieszczenia magazynowania odpadów poprodukcyjnych, magazyn oleju opałowego, zostaną dodatkowo zabezpieczone (brak odpływu do kanalizacji, tace wychwytowe na olej), brak okien.</w:t>
            </w:r>
          </w:p>
          <w:p>
            <w:pPr>
              <w:pStyle w:val="Normal"/>
              <w:spacing w:before="40" w:after="40"/>
              <w:ind w:hanging="0"/>
              <w:jc w:val="left"/>
              <w:rPr>
                <w:rFonts w:ascii="Arial" w:hAnsi="Arial" w:cs="Arial"/>
                <w:sz w:val="18"/>
                <w:szCs w:val="18"/>
              </w:rPr>
            </w:pPr>
            <w:r>
              <w:rPr>
                <w:rFonts w:cs="Arial" w:ascii="Arial" w:hAnsi="Arial"/>
                <w:sz w:val="18"/>
                <w:szCs w:val="18"/>
              </w:rPr>
              <w:t>W zakładzie nie przewiduje się magazynowania paliwa – paliwo będzie podawane bezpośrednio z naczepy samochodowej do leja zasypowego i dalej na ruszt pieca. Takie rozwiązanie oznacza brak jakichkolwiek odcieków z odpadów.</w:t>
            </w:r>
          </w:p>
        </w:tc>
      </w:tr>
      <w:tr>
        <w:trPr/>
        <w:tc>
          <w:tcPr>
            <w:tcW w:w="4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Urządzenia techniczne służące do odzysku energii powstającej w procesie, jeżeli taki odzysk energii jest wykonalny.</w:t>
            </w:r>
          </w:p>
          <w:p>
            <w:pPr>
              <w:pStyle w:val="Normal"/>
              <w:spacing w:before="40" w:after="40"/>
              <w:ind w:hanging="0"/>
              <w:rPr>
                <w:rFonts w:ascii="Arial" w:hAnsi="Arial" w:cs="Arial"/>
                <w:sz w:val="18"/>
                <w:szCs w:val="18"/>
              </w:rPr>
            </w:pPr>
            <w:r>
              <w:rPr>
                <w:rFonts w:cs="Arial" w:ascii="Arial" w:hAnsi="Arial"/>
                <w:sz w:val="18"/>
                <w:szCs w:val="18"/>
              </w:rPr>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Instalacja jest instalacją, której główną funkcją jest funkcja energetyczna – została wyposażona w wysokosprawny kocioł odzysknicowy, przystosowany do produkcji energii cieplnej na potrzeby przemysłu i sieci ciepłowniczej.</w:t>
            </w:r>
          </w:p>
        </w:tc>
      </w:tr>
      <w:tr>
        <w:trPr/>
        <w:tc>
          <w:tcPr>
            <w:tcW w:w="4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24"/>
              </w:rPr>
            </w:pPr>
            <w:r>
              <w:rPr>
                <w:rFonts w:cs="Arial" w:ascii="Arial" w:hAnsi="Arial"/>
                <w:sz w:val="18"/>
                <w:szCs w:val="18"/>
              </w:rPr>
              <w:t>Urządzenia techniczne służące do magazynowania odpadów powstałych w wyniku procesu.</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Odpady paleniskowe będą magazynowane w kontenerze KP-7 lub podobnym w oddzielnym magazynie odpadów poprodukcyjnych.</w:t>
            </w:r>
          </w:p>
          <w:p>
            <w:pPr>
              <w:pStyle w:val="Normal"/>
              <w:spacing w:before="40" w:after="40"/>
              <w:ind w:hanging="0"/>
              <w:jc w:val="left"/>
              <w:rPr>
                <w:rFonts w:ascii="Arial" w:hAnsi="Arial" w:cs="Arial"/>
                <w:sz w:val="18"/>
                <w:szCs w:val="18"/>
              </w:rPr>
            </w:pPr>
            <w:r>
              <w:rPr>
                <w:rFonts w:cs="Arial" w:ascii="Arial" w:hAnsi="Arial"/>
                <w:sz w:val="18"/>
                <w:szCs w:val="18"/>
              </w:rPr>
              <w:t xml:space="preserve">Odpady pyłów z oczyszczania spalin będą gromadzone w szczelnych workach typu big bag w oddzielnym pomieszczeniu magazynu odpadów. Załadunek odpadów będzie się odbywał w </w:t>
            </w:r>
            <w:r>
              <w:rPr>
                <w:rFonts w:cs="Arial" w:ascii="Arial" w:hAnsi="Arial"/>
                <w:color w:val="00000A"/>
                <w:sz w:val="18"/>
                <w:szCs w:val="18"/>
              </w:rPr>
              <w:t>magazynie.</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lineRule="auto" w:line="360"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Wyposażenie w jeden palnik pomocniczy w każdej komorze spalania odpadów:</w:t>
            </w:r>
          </w:p>
          <w:p>
            <w:pPr>
              <w:pStyle w:val="Normal"/>
              <w:numPr>
                <w:ilvl w:val="0"/>
                <w:numId w:val="54"/>
              </w:numPr>
              <w:spacing w:before="40" w:after="40"/>
              <w:jc w:val="left"/>
              <w:rPr>
                <w:rFonts w:ascii="Arial" w:hAnsi="Arial" w:cs="Arial"/>
                <w:sz w:val="18"/>
                <w:szCs w:val="18"/>
              </w:rPr>
            </w:pPr>
            <w:r>
              <w:rPr>
                <w:rFonts w:cs="Arial" w:ascii="Arial" w:hAnsi="Arial"/>
                <w:sz w:val="18"/>
                <w:szCs w:val="18"/>
              </w:rPr>
              <w:t>włączający się automatycznie, jeżeli temperatura gazów spalinowych po ostatnim doprowadzeniu powietrza spadnie poniżej temperatury 1100°C - dla odpadów niebezpiecznych zawierających powyżej 1% związków chlorowcoorganicznych przeliczonych na chlor, oraz 850°C - dla pozostałych odpadów;</w:t>
            </w:r>
          </w:p>
          <w:p>
            <w:pPr>
              <w:pStyle w:val="Normal"/>
              <w:numPr>
                <w:ilvl w:val="0"/>
                <w:numId w:val="54"/>
              </w:numPr>
              <w:spacing w:before="40" w:after="40"/>
              <w:jc w:val="left"/>
              <w:rPr>
                <w:rFonts w:ascii="Arial" w:hAnsi="Arial" w:cs="Arial"/>
                <w:sz w:val="18"/>
                <w:szCs w:val="18"/>
              </w:rPr>
            </w:pPr>
            <w:r>
              <w:rPr>
                <w:rFonts w:cs="Arial" w:ascii="Arial" w:hAnsi="Arial"/>
                <w:sz w:val="18"/>
                <w:szCs w:val="18"/>
              </w:rPr>
              <w:t>używany także w czasie rozruchu i wyłączenia spalarni odpadów w celu zapewnienia utrzymania powyższej temperatury przez cały czas wykonywania tych operacji i tak długo, jak niespalone odpady znajdują się w komorze spalania.</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Instalacja posiada własny palnik olejowy, który jest używany do procesu rozgrzewania oraz wygaszania pieca. Po rozgrzaniu pieca, palnik jest usuwany z pieca i proces spalania paliwa odbywa się w sposób auto-termiczny. W przypadku spadku temperatury spalania paliwa w komorze spalania i komorach dopalania istnieje możliwość ponownego podłączenia i uruchomienia palnika w celu zapewnienia podtrzymania odpowiedniej temperatury spalania.</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Podczas prowadzenia procesu w komorze spalania prowadzi się ciągły pomiar:</w:t>
            </w:r>
          </w:p>
          <w:p>
            <w:pPr>
              <w:pStyle w:val="Normal"/>
              <w:numPr>
                <w:ilvl w:val="0"/>
                <w:numId w:val="54"/>
              </w:numPr>
              <w:spacing w:before="40" w:after="40"/>
              <w:jc w:val="left"/>
              <w:rPr>
                <w:rFonts w:ascii="Arial" w:hAnsi="Arial" w:cs="Arial"/>
                <w:sz w:val="18"/>
                <w:szCs w:val="18"/>
              </w:rPr>
            </w:pPr>
            <w:r>
              <w:rPr>
                <w:rFonts w:cs="Arial" w:ascii="Arial" w:hAnsi="Arial"/>
                <w:sz w:val="18"/>
                <w:szCs w:val="18"/>
              </w:rPr>
              <w:t>temperatury gazów spalinowych, mierzonej blisko ściany wewnętrznej lub w innym reprezentatywnym miejscu komory spalania, w sposób eliminujący wpływ promieniowania cieplnego płomienia;</w:t>
            </w:r>
          </w:p>
          <w:p>
            <w:pPr>
              <w:pStyle w:val="Normal"/>
              <w:numPr>
                <w:ilvl w:val="0"/>
                <w:numId w:val="54"/>
              </w:numPr>
              <w:spacing w:before="40" w:after="40"/>
              <w:jc w:val="left"/>
              <w:rPr>
                <w:rFonts w:ascii="Arial" w:hAnsi="Arial" w:cs="Arial"/>
                <w:sz w:val="18"/>
                <w:szCs w:val="18"/>
              </w:rPr>
            </w:pPr>
            <w:r>
              <w:rPr>
                <w:rFonts w:cs="Arial" w:ascii="Arial" w:hAnsi="Arial"/>
                <w:sz w:val="18"/>
                <w:szCs w:val="18"/>
              </w:rPr>
              <w:t>stężenia tlenu w gazach spalinowych;</w:t>
            </w:r>
          </w:p>
          <w:p>
            <w:pPr>
              <w:pStyle w:val="Normal"/>
              <w:numPr>
                <w:ilvl w:val="0"/>
                <w:numId w:val="54"/>
              </w:numPr>
              <w:spacing w:before="40" w:after="40"/>
              <w:jc w:val="left"/>
              <w:rPr>
                <w:rFonts w:ascii="Arial" w:hAnsi="Arial" w:cs="Arial"/>
                <w:sz w:val="18"/>
                <w:szCs w:val="18"/>
              </w:rPr>
            </w:pPr>
            <w:r>
              <w:rPr>
                <w:rFonts w:cs="Arial" w:ascii="Arial" w:hAnsi="Arial"/>
                <w:sz w:val="18"/>
                <w:szCs w:val="18"/>
              </w:rPr>
              <w:t>ciśnienia gazów spalinowych.</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Monitoring ciągły planowanej instalacji obejmuje pomiar temperatury i ciśnienia spalin oraz stężenia w spalinach poziomu tlenu.</w:t>
            </w:r>
          </w:p>
          <w:p>
            <w:pPr>
              <w:pStyle w:val="Normal"/>
              <w:spacing w:before="40" w:after="40"/>
              <w:ind w:hanging="0"/>
              <w:rPr>
                <w:rFonts w:ascii="Arial" w:hAnsi="Arial" w:cs="Arial"/>
                <w:sz w:val="18"/>
                <w:szCs w:val="18"/>
              </w:rPr>
            </w:pPr>
            <w:r>
              <w:rPr>
                <w:rFonts w:cs="Arial" w:ascii="Arial" w:hAnsi="Arial"/>
                <w:sz w:val="18"/>
                <w:szCs w:val="18"/>
              </w:rPr>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Czas przebywania gazów spalinowych w wymaganej temperaturze oraz zawartość tlenu w gazach spalinowych podlegają weryfikacji podczas rozruchu i po każdej modernizacji spalarni odpadów.</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Obliczenia dotyczące czasu przebywania spalin w wymaganej temperaturze oraz zawartość tlenu w spalinach będą weryfikowane podczas rozruchu i po każdej modernizacji instalacji.</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W przypadku gdy techniki pomiarowe zastosowane do poboru i analizy składu gazów spalinowych nie obejmują osuszania gazów przed ich analizą, proces monitoruje się także w zakresie zawartości pary wodnej w gazach spalinowych.</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W analizowanym przypadku przewiduje się monitoring zawartości pary wodnej w gazach spalinowych.</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Proces nie może być kontynuowany przez okres przekraczający cztery godziny, w przypadku gdy przekraczane są standardy emisyjne. Łączny czas eksploatacji instalacji w tych warunkach nie może przekraczać, dla każdej linii, 60 godzin w okresie roku kalendarzowego.</w:t>
            </w:r>
          </w:p>
          <w:p>
            <w:pPr>
              <w:pStyle w:val="Normal"/>
              <w:spacing w:before="40" w:after="40"/>
              <w:ind w:hanging="0"/>
              <w:jc w:val="left"/>
              <w:rPr>
                <w:rFonts w:ascii="Arial" w:hAnsi="Arial" w:cs="Arial"/>
                <w:sz w:val="18"/>
                <w:szCs w:val="18"/>
              </w:rPr>
            </w:pPr>
            <w:r>
              <w:rPr>
                <w:rFonts w:cs="Arial" w:ascii="Arial" w:hAnsi="Arial"/>
                <w:sz w:val="18"/>
                <w:szCs w:val="18"/>
              </w:rPr>
              <w:t>W przypadku wystąpienia zakłóceń w procesie, w tym w pracy urządzeń ochronnych ograniczających emisję do powietrza, powodujących przekraczanie standardów emisyjnych:</w:t>
            </w:r>
          </w:p>
          <w:p>
            <w:pPr>
              <w:pStyle w:val="Normal"/>
              <w:numPr>
                <w:ilvl w:val="0"/>
                <w:numId w:val="54"/>
              </w:numPr>
              <w:spacing w:before="40" w:after="40"/>
              <w:jc w:val="left"/>
              <w:rPr>
                <w:rFonts w:ascii="Arial" w:hAnsi="Arial" w:cs="Arial"/>
                <w:sz w:val="18"/>
                <w:szCs w:val="18"/>
              </w:rPr>
            </w:pPr>
            <w:r>
              <w:rPr>
                <w:rFonts w:cs="Arial" w:ascii="Arial" w:hAnsi="Arial"/>
                <w:sz w:val="18"/>
                <w:szCs w:val="18"/>
              </w:rPr>
              <w:t>natychmiast wstrzymuje się podawanie odpadów do spalarni, a jeżeli przekraczanie standardów emisyjnych utrzymuje się, nie później niż w czwartej godzinie trwania zakłóceń rozpoczyna się procedurę zatrzymywania instalacji w trybie przewidzianym w jej instrukcji obsługi;</w:t>
            </w:r>
          </w:p>
          <w:p>
            <w:pPr>
              <w:pStyle w:val="Normal"/>
              <w:numPr>
                <w:ilvl w:val="0"/>
                <w:numId w:val="54"/>
              </w:numPr>
              <w:spacing w:before="40" w:after="40"/>
              <w:jc w:val="left"/>
              <w:rPr>
                <w:rFonts w:ascii="Arial" w:hAnsi="Arial" w:cs="Arial"/>
                <w:sz w:val="18"/>
                <w:szCs w:val="18"/>
              </w:rPr>
            </w:pPr>
            <w:r>
              <w:rPr>
                <w:rFonts w:cs="Arial" w:ascii="Arial" w:hAnsi="Arial"/>
                <w:sz w:val="18"/>
                <w:szCs w:val="18"/>
              </w:rPr>
              <w:t>po przekroczeniu rocznego limitu czasu (60h) - natychmiast wstrzymuje się podawanie odpadów do spalarni oraz jednocześnie rozpoczyna się procedurę zatrzymywania instalacji w trybie przewidzianym w jej instrukcji obsługi.</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Instalacja posiada stały monitoring głównych parametrów gazów spalinowych i możliwość automatycznego wstrzymania pracy w przypadku stwierdzenia przekroczenia standardów emisyjnych.</w:t>
            </w:r>
          </w:p>
          <w:p>
            <w:pPr>
              <w:pStyle w:val="Normal"/>
              <w:spacing w:before="40" w:after="40"/>
              <w:ind w:hanging="0"/>
              <w:jc w:val="left"/>
              <w:rPr>
                <w:rFonts w:ascii="Arial" w:hAnsi="Arial" w:cs="Arial"/>
                <w:sz w:val="18"/>
                <w:szCs w:val="18"/>
              </w:rPr>
            </w:pPr>
            <w:r>
              <w:rPr>
                <w:rFonts w:cs="Arial" w:ascii="Arial" w:hAnsi="Arial"/>
                <w:sz w:val="18"/>
                <w:szCs w:val="18"/>
              </w:rPr>
              <w:t>Planuje się prowadzenie rejestru czasu pracy instalacji w warunkach awaryjnych (przekraczania standardów emisyjnych) w celu zapobieżenia przekroczenia rocznego limitu czasu. Rejestr będzie przechowywany i archiwizowany przez kierownika spalarni.</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W przypadku spadku temperatury poniżej wymaganej temperatury natychmiast wstrzymuje się podawanie odpadów do instalacji.</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keepNext/>
              <w:spacing w:before="40" w:after="40"/>
              <w:ind w:hanging="0"/>
              <w:jc w:val="left"/>
              <w:rPr>
                <w:rFonts w:ascii="Arial" w:hAnsi="Arial" w:cs="Arial"/>
                <w:sz w:val="18"/>
                <w:szCs w:val="18"/>
              </w:rPr>
            </w:pPr>
            <w:r>
              <w:rPr>
                <w:rFonts w:cs="Arial" w:ascii="Arial" w:hAnsi="Arial"/>
                <w:sz w:val="18"/>
                <w:szCs w:val="18"/>
              </w:rPr>
              <w:t>Instalacja posiada stały monitoring temperatury spalania i możliwość automatycznego wstrzymania pracy w przypadku stwierdzenia spadku temperatury poniżej jej wymaganej wysokości.</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Proces oraz transport i magazynowanie odpadów powstałych w wyniku procesu prowadzi się w taki sposób, aby zapobiec niedozwolonemu lub przypadkowemu uwolnieniu substancji zanieczyszczających do gleby i ziemi, wód powierzchniowych i wód podziemnych.</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Proces termicznego przekształcania odpadów będzie prowadzony przez osoby przeszkolone.</w:t>
            </w:r>
          </w:p>
          <w:p>
            <w:pPr>
              <w:pStyle w:val="Normal"/>
              <w:spacing w:before="40" w:after="40"/>
              <w:ind w:hanging="0"/>
              <w:jc w:val="left"/>
              <w:rPr>
                <w:rFonts w:ascii="Arial" w:hAnsi="Arial" w:cs="Arial"/>
                <w:sz w:val="18"/>
                <w:szCs w:val="18"/>
              </w:rPr>
            </w:pPr>
            <w:r>
              <w:rPr>
                <w:rFonts w:cs="Arial" w:ascii="Arial" w:hAnsi="Arial"/>
                <w:sz w:val="18"/>
                <w:szCs w:val="18"/>
              </w:rPr>
              <w:t>Wdrożone zostaną procedury dotyczące sposobu postepowania z przyjmowanym paliwem, z substancjami chemicznymi (olej opałowy, sorbenty), odpadami poprodukcyjnymi.</w:t>
            </w:r>
          </w:p>
          <w:p>
            <w:pPr>
              <w:pStyle w:val="Normal"/>
              <w:spacing w:before="40" w:after="40"/>
              <w:ind w:hanging="0"/>
              <w:jc w:val="left"/>
              <w:rPr>
                <w:rFonts w:ascii="Arial" w:hAnsi="Arial" w:cs="Arial"/>
                <w:sz w:val="18"/>
                <w:szCs w:val="18"/>
              </w:rPr>
            </w:pPr>
            <w:r>
              <w:rPr>
                <w:rFonts w:cs="Arial" w:ascii="Arial" w:hAnsi="Arial"/>
                <w:sz w:val="18"/>
                <w:szCs w:val="18"/>
              </w:rPr>
              <w:t>Proces technologiczny i magazynowanie odpadów będą się odbywały w zamkniętych pomieszczeniach budynku zakładu z dostępem wyłącznie dla pracowników.</w:t>
            </w:r>
          </w:p>
          <w:p>
            <w:pPr>
              <w:pStyle w:val="Normal"/>
              <w:spacing w:before="40" w:after="40"/>
              <w:ind w:hanging="0"/>
              <w:jc w:val="left"/>
              <w:rPr>
                <w:rFonts w:ascii="Arial" w:hAnsi="Arial" w:cs="Arial"/>
                <w:sz w:val="18"/>
                <w:szCs w:val="18"/>
              </w:rPr>
            </w:pPr>
            <w:r>
              <w:rPr>
                <w:rFonts w:cs="Arial" w:ascii="Arial" w:hAnsi="Arial"/>
                <w:sz w:val="18"/>
                <w:szCs w:val="18"/>
              </w:rPr>
              <w:t>Załadunek odpadów poprodukcyjnych będzie się odbywał w pomieszczeniu magazynu odpadów (możliwość wjazdu samochodu w celu załadunku).</w:t>
            </w:r>
          </w:p>
          <w:p>
            <w:pPr>
              <w:pStyle w:val="Normal"/>
              <w:spacing w:before="40" w:after="40"/>
              <w:ind w:hanging="0"/>
              <w:jc w:val="left"/>
              <w:rPr>
                <w:rFonts w:ascii="Arial" w:hAnsi="Arial" w:cs="Arial"/>
                <w:sz w:val="18"/>
                <w:szCs w:val="18"/>
              </w:rPr>
            </w:pPr>
            <w:r>
              <w:rPr>
                <w:rFonts w:cs="Arial" w:ascii="Arial" w:hAnsi="Arial"/>
                <w:sz w:val="18"/>
                <w:szCs w:val="18"/>
              </w:rPr>
              <w:t>Teren zakładu zostanie zabezpieczony poprzez wykonanie utwardzonych szczelnych powierzchni, z których wody opadowe będą odprowadzane do sieci kanalizacyjnej zakładu Śrubena Unia S.A.</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Proces prowadzi się w taki sposób, aby zminimalizować ilość i szkodliwość odpadów powstałych w jego wyniku.</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 xml:space="preserve">W wyniku procesu technologicznego będą powstawały głównie odpady paleniskowe, niebędące odpadami niebezpiecznymi oraz odpady niebezpieczne z oczyszczania spalin. Wysoka skuteczność oczyszczania spali z użyciem wodorowęglanu sodu i węgla aktywnego oznacza konieczność powstawania tych odpadów w ilości niezbędnej do dotrzymania standardów emisyjnych. Dozowanie sorbentów uwzględniające aktualne parametry prowadzonego procesu będzie oznaczało minimalizację ilości pyłów z oczyszczania spalin. </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Odpady powstałe w wyniku procesu poddaje się odzyskowi, a w przypadku braku takiej możliwości - unieszkodliwia się je ze szczególnym uwzględnieniem frakcji metali ciężkich.</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Przy wyborze podmiotów odbierających odpady z instalacji będą brane pod uwagę dalsze sposoby gospodarowania odpadami, uwzgledniające w maksymalnym stopniu odzysk odpadów (w przypadku pyłów z oczyszczania spalin, w szczególności do sporządzania mieszanek betonowych na potrzeby budownictwa, z wyłączeniem budynków przeznaczonych do stałego przebywania ludzi lub zwierząt oraz do produkcji lub magazynowania żywności).</w:t>
            </w:r>
          </w:p>
        </w:tc>
      </w:tr>
    </w:tbl>
    <w:p>
      <w:pPr>
        <w:sectPr>
          <w:headerReference w:type="even" r:id="rId15"/>
          <w:headerReference w:type="default" r:id="rId16"/>
          <w:footerReference w:type="even" r:id="rId17"/>
          <w:footerReference w:type="default" r:id="rId18"/>
          <w:footnotePr>
            <w:numFmt w:val="decimal"/>
          </w:footnotePr>
          <w:type w:val="nextPage"/>
          <w:pgSz w:orient="landscape" w:w="16838" w:h="11906"/>
          <w:pgMar w:left="1418" w:right="1418" w:header="709" w:top="1418" w:footer="709" w:bottom="1134" w:gutter="0"/>
          <w:pgNumType w:fmt="decimal"/>
          <w:formProt w:val="false"/>
          <w:textDirection w:val="lrTb"/>
          <w:docGrid w:type="default" w:linePitch="360" w:charSpace="4294961151"/>
        </w:sectPr>
      </w:pPr>
    </w:p>
    <w:p>
      <w:pPr>
        <w:pStyle w:val="Nagwek4"/>
        <w:numPr>
          <w:ilvl w:val="3"/>
          <w:numId w:val="2"/>
        </w:numPr>
        <w:ind w:hanging="992"/>
        <w:rPr/>
      </w:pPr>
      <w:r>
        <w:rPr/>
        <w:t xml:space="preserve">Hałas </w:t>
      </w:r>
    </w:p>
    <w:p>
      <w:pPr>
        <w:pStyle w:val="Normal"/>
        <w:rPr>
          <w:szCs w:val="24"/>
        </w:rPr>
      </w:pPr>
      <w:r>
        <w:rPr>
          <w:szCs w:val="24"/>
        </w:rPr>
        <w:t xml:space="preserve">Emitowany hałas będzie miał charakter nieciągły, jego energia będzie podlegać zmianom </w:t>
        <w:br/>
        <w:t xml:space="preserve">w poszczególnych etapach budowy, a nawet w obrębie jednej zmiany roboczej, w zależności od przebiegu prac i udziału poszczególnych maszyn i urządzeń budowlanych. Prace prowadzone będą w porze dziennej, co pozwoli na częściowe ograniczenia uciążliwości akustycznej terenu budowy. </w:t>
      </w:r>
    </w:p>
    <w:p>
      <w:pPr>
        <w:pStyle w:val="Normal"/>
        <w:rPr>
          <w:szCs w:val="24"/>
        </w:rPr>
      </w:pPr>
      <w:r>
        <w:rPr>
          <w:szCs w:val="24"/>
        </w:rPr>
      </w:r>
    </w:p>
    <w:p>
      <w:pPr>
        <w:pStyle w:val="Nagwek4"/>
        <w:numPr>
          <w:ilvl w:val="3"/>
          <w:numId w:val="2"/>
        </w:numPr>
        <w:ind w:hanging="992"/>
        <w:rPr>
          <w:rFonts w:cs="Arial"/>
          <w:szCs w:val="22"/>
        </w:rPr>
      </w:pPr>
      <w:r>
        <w:rPr/>
        <w:t xml:space="preserve">Odpady </w:t>
      </w:r>
    </w:p>
    <w:p>
      <w:pPr>
        <w:pStyle w:val="Normal"/>
        <w:rPr/>
      </w:pPr>
      <w:r>
        <w:rPr/>
        <w:t xml:space="preserve">W związku z realizacją przedsięwzięcia powstaną typowe odpady budowlane. Do odpadów </w:t>
      </w:r>
      <w:r>
        <w:rPr>
          <w:szCs w:val="24"/>
        </w:rPr>
        <w:t>powstających</w:t>
      </w:r>
      <w:r>
        <w:rPr/>
        <w:t xml:space="preserve"> w fazie budowy należą różnorodne odpady opakowaniowe i budowlane oraz zmieszane odpady komunalne.</w:t>
      </w:r>
    </w:p>
    <w:p>
      <w:pPr>
        <w:pStyle w:val="Normal"/>
        <w:rPr/>
      </w:pPr>
      <w:r>
        <w:rPr>
          <w:szCs w:val="24"/>
        </w:rPr>
        <w:t>Planowane do wytworzenia rodzaje odpadów</w:t>
      </w:r>
      <w:r>
        <w:rPr/>
        <w:t xml:space="preserve"> klasyfikowane są jako odpady inne niż niebezpieczne. Odpady będą magazynowane przez wykonawcę prac w warunkach zabezpieczających je przed zmieszaniem (odpady opakowaniowe) oraz ewentualnym rozproszeniem, w miejscach nie kolidujących z pracami budowlanymi, a następnie zostaną przekazane podmiotom posiadającym niezbędne zezwolenia.  Takie działania oznaczają, że ewentualne oddziaływanie odpadów w miejscu wytwarzania będzie praktycznie wyeliminowane.</w:t>
      </w:r>
    </w:p>
    <w:p>
      <w:pPr>
        <w:pStyle w:val="Normal"/>
        <w:rPr/>
      </w:pPr>
      <w:r>
        <w:rPr/>
        <w:t>W związku z prowadzeniem prac budowlanych konieczne będzie także usunięcie z terenu przedsięwzięcia istniejących obiektów budowlanych, a więc budynku kotłowni o powierzchni około 740 m</w:t>
      </w:r>
      <w:r>
        <w:rPr>
          <w:vertAlign w:val="superscript"/>
        </w:rPr>
        <w:t>2</w:t>
      </w:r>
      <w:r>
        <w:rPr/>
        <w:t xml:space="preserve"> i wysokości około 12 m, budynku gospodarczego o powierzchni około 290 m</w:t>
      </w:r>
      <w:r>
        <w:rPr>
          <w:vertAlign w:val="superscript"/>
        </w:rPr>
        <w:t>2</w:t>
      </w:r>
      <w:r>
        <w:rPr/>
        <w:t xml:space="preserve"> oraz stalowego emitora o wysokości około 20 m. Budynek kotłowni i budynek gospodarczy są wykonane w technologii tradycyjnej. W trakcie tych prac wytworzone zostaną przede wszystkim odpady gruzu ceglanego i betonowego oraz inne odpady budowlane, w tym złom stalowy, zmieszane odpady budowlane i elementów wyposażenia czy odpadowe kable. Spółka Beskid Żywiec Sp. z o.o. eksploatuje instalację do przetwarzania odpadów, w której możliwe jest częściowe przetworzenie tych odpadów. Część odpadów (gruz) jako odpady inertne może zostać przekazana do składowania na składowisko odpadów obojętnych lub innych niż niebezpieczne. Pozostałe odpady trafią do dalszego przetworzenia.</w:t>
      </w:r>
    </w:p>
    <w:p>
      <w:pPr>
        <w:pStyle w:val="Normal"/>
        <w:rPr/>
      </w:pPr>
      <w:r>
        <w:rPr>
          <w:szCs w:val="24"/>
        </w:rPr>
        <w:t>Odpady</w:t>
      </w:r>
      <w:r>
        <w:rPr/>
        <w:t xml:space="preserve"> powstające w trakcie prowadzenia prac budowlanych będą w całości wytwarzane przez zewnętrzny podmiot prowadzący prace (wykonawcę) i nie będą stanowić odpadów Inwestora. Tym samym obowiązek prawidłowego gospodarowania odpadami będzie spoczywał na wykonawcy prac budowlanych. Odpady te będą gromadzone w kontenerach wykonawcy i usuwane z terenu budowy na bieżąco. </w:t>
      </w:r>
    </w:p>
    <w:p>
      <w:pPr>
        <w:pStyle w:val="Normal"/>
        <w:rPr/>
      </w:pPr>
      <w:r>
        <w:rPr>
          <w:szCs w:val="24"/>
        </w:rPr>
        <w:t>Podczas</w:t>
      </w:r>
      <w:r>
        <w:rPr/>
        <w:t xml:space="preserve"> budowy przewiduje się wykonanie wykopów pod ławy fundamentowe o głębokości maksymalnie 1,5 m, bez potrzeby odwadniania. Ingerencja w glebę będzie miała charakter lokalny, ograniczony do powierzchni nowo budowanego budynku i placu manewrowego. Gleba i ziemia z wykopów będzie zagospodarowana w obrębie działki do kształtowania powierzchni biologicznie czynnej, w związku z czym nie należy jej traktować jak odpadu.</w:t>
      </w:r>
    </w:p>
    <w:p>
      <w:pPr>
        <w:pStyle w:val="Normal"/>
        <w:rPr/>
      </w:pPr>
      <w:r>
        <w:rPr/>
      </w:r>
    </w:p>
    <w:p>
      <w:pPr>
        <w:pStyle w:val="Nagwek4"/>
        <w:numPr>
          <w:ilvl w:val="3"/>
          <w:numId w:val="2"/>
        </w:numPr>
        <w:ind w:hanging="992"/>
        <w:rPr/>
      </w:pPr>
      <w:r>
        <w:rPr/>
        <w:t xml:space="preserve">Ścieki </w:t>
      </w:r>
    </w:p>
    <w:p>
      <w:pPr>
        <w:pStyle w:val="Normal"/>
        <w:rPr/>
      </w:pPr>
      <w:r>
        <w:rPr/>
        <w:t>Na etapie budowy powstaną ścieki bytowe z zaplecza socjalnego budowy w ilości około 90 l /pracownik/dzień pracy. Dla pracowników budowy zapewnione zostaną szczelne, przenośne toalety, obsługiwane przez firmy zewnętrzne.</w:t>
      </w:r>
    </w:p>
    <w:p>
      <w:pPr>
        <w:pStyle w:val="Normal"/>
        <w:spacing w:lineRule="auto" w:line="360"/>
        <w:ind w:hanging="0"/>
        <w:rPr/>
      </w:pPr>
      <w:r>
        <w:rPr/>
      </w:r>
    </w:p>
    <w:p>
      <w:pPr>
        <w:pStyle w:val="Nagwek3"/>
        <w:numPr>
          <w:ilvl w:val="2"/>
          <w:numId w:val="2"/>
        </w:numPr>
        <w:ind w:hanging="851"/>
        <w:rPr/>
      </w:pPr>
      <w:bookmarkStart w:id="31" w:name="_Toc518331294"/>
      <w:r>
        <w:rPr/>
        <w:t>Etap eksploatacji</w:t>
      </w:r>
      <w:bookmarkEnd w:id="31"/>
      <w:r>
        <w:rPr/>
        <w:t xml:space="preserve"> </w:t>
      </w:r>
    </w:p>
    <w:p>
      <w:pPr>
        <w:pStyle w:val="Nagwek4"/>
        <w:numPr>
          <w:ilvl w:val="3"/>
          <w:numId w:val="2"/>
        </w:numPr>
        <w:ind w:hanging="992"/>
        <w:rPr/>
      </w:pPr>
      <w:r>
        <w:rPr/>
        <w:t xml:space="preserve">Emisje zanieczyszczeń do powietrza atmosferycznego </w:t>
      </w:r>
    </w:p>
    <w:p>
      <w:pPr>
        <w:pStyle w:val="Normal"/>
        <w:rPr/>
      </w:pPr>
      <w:r>
        <w:rPr/>
        <w:t xml:space="preserve">Na terenie planowanego zakładu występować będą następujące źródła emisji zanieczyszczeń do powietrza: </w:t>
      </w:r>
    </w:p>
    <w:p>
      <w:pPr>
        <w:pStyle w:val="Normal"/>
        <w:numPr>
          <w:ilvl w:val="0"/>
          <w:numId w:val="34"/>
        </w:numPr>
        <w:rPr/>
      </w:pPr>
      <w:r>
        <w:rPr/>
        <w:t xml:space="preserve">emisja zanieczyszczeń z procesu termicznego przekształcania odpadów, </w:t>
      </w:r>
    </w:p>
    <w:p>
      <w:pPr>
        <w:pStyle w:val="Normal"/>
        <w:numPr>
          <w:ilvl w:val="0"/>
          <w:numId w:val="34"/>
        </w:numPr>
        <w:rPr/>
      </w:pPr>
      <w:r>
        <w:rPr/>
        <w:t xml:space="preserve">emisja zanieczyszczeń ze spalania paliw w silnikach samochodowych dowożących paliwo i wyjeżdzających z zakładu, </w:t>
      </w:r>
    </w:p>
    <w:p>
      <w:pPr>
        <w:pStyle w:val="Normal"/>
        <w:numPr>
          <w:ilvl w:val="0"/>
          <w:numId w:val="34"/>
        </w:numPr>
        <w:rPr/>
      </w:pPr>
      <w:r>
        <w:rPr/>
        <w:t xml:space="preserve">emisja zanieczyszczeń ze spalania paliw w silnikach samochodowych transportujących odpady poprodukcyjne.  </w:t>
      </w:r>
    </w:p>
    <w:p>
      <w:pPr>
        <w:pStyle w:val="Normal"/>
        <w:rPr>
          <w:color w:val="00000A"/>
        </w:rPr>
      </w:pPr>
      <w:r>
        <w:rPr/>
        <w:t xml:space="preserve">Wielkość emisji podana została w </w:t>
      </w:r>
      <w:r>
        <w:rPr>
          <w:color w:val="00000A"/>
        </w:rPr>
        <w:t>rozdziale 11.2.5.</w:t>
      </w:r>
    </w:p>
    <w:p>
      <w:pPr>
        <w:pStyle w:val="Normal"/>
        <w:rPr/>
      </w:pPr>
      <w:r>
        <w:rPr/>
      </w:r>
    </w:p>
    <w:p>
      <w:pPr>
        <w:pStyle w:val="Nagwek4"/>
        <w:numPr>
          <w:ilvl w:val="3"/>
          <w:numId w:val="2"/>
        </w:numPr>
        <w:ind w:hanging="992"/>
        <w:rPr/>
      </w:pPr>
      <w:r>
        <w:rPr/>
        <w:t xml:space="preserve">Hałas  </w:t>
      </w:r>
    </w:p>
    <w:p>
      <w:pPr>
        <w:pStyle w:val="Normal"/>
        <w:rPr/>
      </w:pPr>
      <w:r>
        <w:rPr/>
        <w:t xml:space="preserve">W oparciu o Rozporządzenie Ministra Środowiska </w:t>
      </w:r>
      <w:r>
        <w:rPr>
          <w:i/>
        </w:rPr>
        <w:t xml:space="preserve">z dnia 14 czerwca 2007 roku w sprawie dopuszczalnych poziomów hałasu w środowisku </w:t>
      </w:r>
      <w:r>
        <w:rPr/>
        <w:t xml:space="preserve">(Dz. U. Nr 120, poz. 826), dopuszczalny poziom hałasu, w zależności od przeznaczenia terenu waha się w granicach (nie dotyczy hałasu drogowego i kolejowego): </w:t>
      </w:r>
    </w:p>
    <w:p>
      <w:pPr>
        <w:pStyle w:val="Normal"/>
        <w:numPr>
          <w:ilvl w:val="0"/>
          <w:numId w:val="34"/>
        </w:numPr>
        <w:rPr/>
      </w:pPr>
      <w:r>
        <w:rPr/>
        <w:t xml:space="preserve">w ciągu 8 najmniej korzystnych godzin pory dziennej, w okresie g. 6.00 do 22.00 - od 45 do 55 dB, </w:t>
      </w:r>
    </w:p>
    <w:p>
      <w:pPr>
        <w:pStyle w:val="Normal"/>
        <w:numPr>
          <w:ilvl w:val="0"/>
          <w:numId w:val="34"/>
        </w:numPr>
        <w:rPr/>
      </w:pPr>
      <w:r>
        <w:rPr/>
        <w:t xml:space="preserve">w ciągu 1 najmniej korzystnej godziny pory nocnej, w okresie g. 22.00 do 6.00 - od 40 do 45 dB. </w:t>
      </w:r>
    </w:p>
    <w:p>
      <w:pPr>
        <w:pStyle w:val="Normal"/>
        <w:rPr/>
      </w:pPr>
      <w:r>
        <w:rPr/>
        <w:t>Warunki dopuszczalne będą zachowane. Izolinia 55 dB w porze dziennej i izolinia 45 dB w porze nocnej obejmie jedynie tereny, które nie podlegają ochronie akustycznej. Szczegółowe informacje dotyczące emisji hałasu przedstawiono w rozdziale 11.2.6.</w:t>
      </w:r>
    </w:p>
    <w:p>
      <w:pPr>
        <w:pStyle w:val="Normal"/>
        <w:rPr/>
      </w:pPr>
      <w:r>
        <w:rPr/>
      </w:r>
    </w:p>
    <w:p>
      <w:pPr>
        <w:pStyle w:val="Nagwek4"/>
        <w:numPr>
          <w:ilvl w:val="3"/>
          <w:numId w:val="2"/>
        </w:numPr>
        <w:ind w:hanging="992"/>
        <w:rPr/>
      </w:pPr>
      <w:r>
        <w:rPr/>
        <w:t xml:space="preserve">Odpady </w:t>
      </w:r>
    </w:p>
    <w:p>
      <w:pPr>
        <w:pStyle w:val="Normal"/>
        <w:rPr/>
      </w:pPr>
      <w:r>
        <w:rPr/>
        <w:t xml:space="preserve">Rodzaje i ilości odpadów, które powstaną w wyniku prowadzenia procesu termicznego przekształcania odpadów wyszczególniono w poniższej tabeli.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7</w:t>
      </w:r>
      <w:r>
        <w:fldChar w:fldCharType="end"/>
      </w:r>
      <w:r>
        <w:rPr/>
        <w:t>.</w:t>
      </w:r>
      <w:r>
        <w:rPr>
          <w:b w:val="false"/>
        </w:rPr>
        <w:t xml:space="preserve"> Rodzaje i ilości odpadów przewidzianych do wytwarzania w związku z eksploatacją instalacji</w:t>
      </w:r>
    </w:p>
    <w:tbl>
      <w:tblPr>
        <w:tblW w:w="9426"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1133"/>
        <w:gridCol w:w="5882"/>
        <w:gridCol w:w="2411"/>
      </w:tblGrid>
      <w:tr>
        <w:trPr/>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tcPr>
          <w:p>
            <w:pPr>
              <w:pStyle w:val="Normal"/>
              <w:spacing w:before="40" w:after="40"/>
              <w:ind w:hanging="0"/>
              <w:jc w:val="center"/>
              <w:rPr>
                <w:rFonts w:ascii="Arial" w:hAnsi="Arial" w:cs="Arial"/>
                <w:b/>
                <w:b/>
                <w:sz w:val="18"/>
              </w:rPr>
            </w:pPr>
            <w:r>
              <w:rPr>
                <w:rFonts w:cs="Arial" w:ascii="Arial" w:hAnsi="Arial"/>
                <w:b/>
                <w:sz w:val="18"/>
              </w:rPr>
              <w:t>Kod</w:t>
            </w:r>
          </w:p>
        </w:tc>
        <w:tc>
          <w:tcPr>
            <w:tcW w:w="58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tcPr>
          <w:p>
            <w:pPr>
              <w:pStyle w:val="Normal"/>
              <w:spacing w:before="40" w:after="40"/>
              <w:ind w:hanging="0"/>
              <w:jc w:val="center"/>
              <w:rPr>
                <w:rFonts w:ascii="Arial" w:hAnsi="Arial" w:cs="Arial"/>
                <w:b/>
                <w:b/>
                <w:sz w:val="18"/>
              </w:rPr>
            </w:pPr>
            <w:r>
              <w:rPr>
                <w:rFonts w:cs="Arial" w:ascii="Arial" w:hAnsi="Arial"/>
                <w:b/>
                <w:sz w:val="18"/>
              </w:rPr>
              <w:t>Rodzaje odpadów</w:t>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tcPr>
          <w:p>
            <w:pPr>
              <w:pStyle w:val="Normal"/>
              <w:spacing w:before="40" w:after="40"/>
              <w:ind w:hanging="0"/>
              <w:jc w:val="center"/>
              <w:rPr>
                <w:rFonts w:ascii="Arial" w:hAnsi="Arial" w:cs="Arial"/>
                <w:b/>
                <w:b/>
                <w:sz w:val="18"/>
              </w:rPr>
            </w:pPr>
            <w:r>
              <w:rPr>
                <w:rFonts w:cs="Arial" w:ascii="Arial" w:hAnsi="Arial"/>
                <w:b/>
                <w:sz w:val="18"/>
              </w:rPr>
              <w:t>Ilość w Mg na rok</w:t>
            </w:r>
          </w:p>
        </w:tc>
      </w:tr>
      <w:tr>
        <w:trPr/>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60" w:after="60"/>
              <w:ind w:hanging="0"/>
              <w:jc w:val="center"/>
              <w:rPr>
                <w:rFonts w:ascii="Arial" w:hAnsi="Arial" w:cs="Arial"/>
                <w:b/>
                <w:b/>
                <w:sz w:val="18"/>
              </w:rPr>
            </w:pPr>
            <w:r>
              <w:rPr>
                <w:rFonts w:cs="Arial" w:ascii="Arial" w:hAnsi="Arial"/>
                <w:b/>
                <w:sz w:val="18"/>
              </w:rPr>
              <w:t>19 01 05*</w:t>
            </w:r>
          </w:p>
        </w:tc>
        <w:tc>
          <w:tcPr>
            <w:tcW w:w="58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60" w:after="60"/>
              <w:ind w:hanging="0"/>
              <w:rPr>
                <w:rFonts w:ascii="Arial" w:hAnsi="Arial" w:cs="Arial"/>
                <w:sz w:val="18"/>
              </w:rPr>
            </w:pPr>
            <w:r>
              <w:rPr>
                <w:rFonts w:cs="Arial" w:ascii="Arial" w:hAnsi="Arial"/>
                <w:sz w:val="18"/>
              </w:rPr>
              <w:t>Osady filtracyjne (np. placek filtracyjny) z oczyszczania</w:t>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60" w:after="60"/>
              <w:ind w:hanging="0"/>
              <w:jc w:val="center"/>
              <w:rPr>
                <w:rFonts w:ascii="Arial" w:hAnsi="Arial" w:cs="Arial"/>
                <w:sz w:val="18"/>
              </w:rPr>
            </w:pPr>
            <w:r>
              <w:rPr>
                <w:rFonts w:cs="Arial" w:ascii="Arial" w:hAnsi="Arial"/>
                <w:sz w:val="18"/>
              </w:rPr>
              <w:t>478,0</w:t>
            </w:r>
          </w:p>
        </w:tc>
      </w:tr>
      <w:tr>
        <w:trPr/>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60" w:after="60"/>
              <w:ind w:hanging="0"/>
              <w:jc w:val="center"/>
              <w:rPr>
                <w:rFonts w:ascii="Arial" w:hAnsi="Arial" w:cs="Arial"/>
                <w:b/>
                <w:b/>
                <w:sz w:val="18"/>
              </w:rPr>
            </w:pPr>
            <w:r>
              <w:rPr>
                <w:rFonts w:cs="Arial" w:ascii="Arial" w:hAnsi="Arial"/>
                <w:b/>
                <w:sz w:val="18"/>
              </w:rPr>
              <w:t>19 01 12</w:t>
            </w:r>
          </w:p>
        </w:tc>
        <w:tc>
          <w:tcPr>
            <w:tcW w:w="58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60" w:after="60"/>
              <w:ind w:hanging="0"/>
              <w:rPr>
                <w:rFonts w:ascii="Arial" w:hAnsi="Arial" w:cs="Arial"/>
                <w:sz w:val="18"/>
              </w:rPr>
            </w:pPr>
            <w:r>
              <w:rPr>
                <w:rFonts w:cs="Arial" w:ascii="Arial" w:hAnsi="Arial"/>
                <w:sz w:val="18"/>
              </w:rPr>
              <w:t>Żużle i popioły paleniskowe inne niż wymienione w 19 01 11</w:t>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60" w:after="60"/>
              <w:ind w:hanging="0"/>
              <w:jc w:val="center"/>
              <w:rPr>
                <w:rFonts w:ascii="Arial" w:hAnsi="Arial" w:cs="Arial"/>
                <w:sz w:val="18"/>
              </w:rPr>
            </w:pPr>
            <w:r>
              <w:rPr>
                <w:rFonts w:cs="Arial" w:ascii="Arial" w:hAnsi="Arial"/>
                <w:sz w:val="18"/>
              </w:rPr>
              <w:t>1230,0</w:t>
            </w:r>
          </w:p>
        </w:tc>
      </w:tr>
    </w:tbl>
    <w:p>
      <w:pPr>
        <w:pStyle w:val="Normal"/>
        <w:spacing w:before="48" w:after="48"/>
        <w:rPr>
          <w:rFonts w:ascii="Arial" w:hAnsi="Arial" w:cs="Arial"/>
          <w:b/>
          <w:b/>
          <w:color w:val="00000A"/>
          <w:szCs w:val="22"/>
        </w:rPr>
      </w:pPr>
      <w:r>
        <w:rPr>
          <w:rFonts w:cs="Arial" w:ascii="Arial" w:hAnsi="Arial"/>
          <w:b/>
          <w:color w:val="00000A"/>
          <w:szCs w:val="22"/>
        </w:rPr>
      </w:r>
    </w:p>
    <w:p>
      <w:pPr>
        <w:pStyle w:val="Normal"/>
        <w:rPr>
          <w:color w:val="FF0000"/>
        </w:rPr>
      </w:pPr>
      <w:r>
        <w:rPr/>
        <w:t xml:space="preserve">Odpady wytwarzane w czasie pracy zakładu (odpady eksploatacyjne) stanowią znikomą ilość w odniesieniu do odpadów wyszczególnionych powyżej w tabeli 7. Szczegółowe zestawienie powstających w projektowanej Instalacji strumieni odpadów, wraz z określeniem ich ilości i charakterystyki, przedstawiono </w:t>
      </w:r>
      <w:r>
        <w:rPr>
          <w:color w:val="00000A"/>
        </w:rPr>
        <w:t>rozdziale 11.2.8.</w:t>
      </w:r>
      <w:r>
        <w:rPr>
          <w:color w:val="FF0000"/>
        </w:rPr>
        <w:t xml:space="preserve"> </w:t>
      </w:r>
    </w:p>
    <w:p>
      <w:pPr>
        <w:pStyle w:val="Normal"/>
        <w:rPr>
          <w:color w:val="FF0000"/>
        </w:rPr>
      </w:pPr>
      <w:r>
        <w:rPr>
          <w:color w:val="FF0000"/>
        </w:rPr>
      </w:r>
    </w:p>
    <w:p>
      <w:pPr>
        <w:pStyle w:val="Nagwek4"/>
        <w:numPr>
          <w:ilvl w:val="3"/>
          <w:numId w:val="2"/>
        </w:numPr>
        <w:ind w:hanging="992"/>
        <w:rPr/>
      </w:pPr>
      <w:r>
        <w:rPr/>
        <w:t xml:space="preserve">Ścieki </w:t>
      </w:r>
    </w:p>
    <w:p>
      <w:pPr>
        <w:pStyle w:val="Normal"/>
        <w:rPr/>
      </w:pPr>
      <w:r>
        <w:rPr/>
        <w:t xml:space="preserve">Na terenie zakładu będą powstawały ścieki przemysłowe i bytowe. Zgodnie ze znowelizowaną ustawą </w:t>
      </w:r>
      <w:r>
        <w:rPr>
          <w:i/>
        </w:rPr>
        <w:t>Prawo wodne</w:t>
      </w:r>
      <w:r>
        <w:rPr/>
        <w:t xml:space="preserve">, wody opadowe i roztopowe powstające z terenów utwardzonych nie stanowią ścieku. </w:t>
      </w:r>
    </w:p>
    <w:p>
      <w:pPr>
        <w:pStyle w:val="Normal"/>
        <w:rPr/>
      </w:pPr>
      <w:r>
        <w:rPr/>
        <w:t>Ze względu na zastosowanie suchego systemu oczyszczania spalin nie będą powstawały ścieki technologiczne (przemysłowe) z procesu oczyszczania spalin.</w:t>
      </w:r>
    </w:p>
    <w:p>
      <w:pPr>
        <w:pStyle w:val="Normal"/>
        <w:rPr/>
      </w:pPr>
      <w:r>
        <w:rPr/>
        <w:t xml:space="preserve"> </w:t>
      </w:r>
      <w:r>
        <w:rPr/>
        <w:t>Źródło wytwarzania ścieków przemysłowych będą stanowić jedynie prace porządkowe, związane z myciem powierzchni głównie w hali magazynowej i hali kotłowni (okresowe mycie w miarę potrzeb, w związku z przerwą konserwacyjną). Woda wykorzystywana do wygarniania żużla w odżużlaczu będzie częściowo zawracana i powtórnie wykorzystywana do tego samego procesu. Część wody będzie wchodziła w skład odpadu popiołów i żużli.</w:t>
      </w:r>
    </w:p>
    <w:p>
      <w:pPr>
        <w:pStyle w:val="Normal"/>
        <w:rPr/>
      </w:pPr>
      <w:r>
        <w:rPr/>
        <w:t xml:space="preserve">Woda wykorzystywana do systemu oczyszczania spalin będzie wyparowywała w procesie i w postaci pary wodnej zmieszanej ze spalinami będzie odprowadzana przez emitor. Część wody w wyniku sorpcji chemicznej zostanie zatrzymana w pyłach. </w:t>
      </w:r>
    </w:p>
    <w:p>
      <w:pPr>
        <w:pStyle w:val="Normal"/>
        <w:rPr/>
      </w:pPr>
      <w:r>
        <w:rPr/>
        <w:t>Ze względu na to, że nie przewiduje się magazynowania paliwa alternatywnego ani biomasy na terenie zakładu, nie będą powstawać odcieki.</w:t>
      </w:r>
    </w:p>
    <w:p>
      <w:pPr>
        <w:pStyle w:val="Normal"/>
        <w:rPr/>
      </w:pPr>
      <w:r>
        <w:rPr/>
        <w:t xml:space="preserve">Wody opadowe z terenu utwardzonego po podczyszczeniu będą odprowadzane do miejskiej kanalizacji deszczowej. Wody opadowe z dachów będą gromadzone w zbiorniku bezodpływowym i wykorzystywane do podlewania zieleni w sezonie wegetacyjnym. Nadmiar wody z dachów będzie odprowadzany do kanalizacji miejskiej. </w:t>
      </w:r>
    </w:p>
    <w:p>
      <w:pPr>
        <w:pStyle w:val="Normal"/>
        <w:rPr/>
      </w:pPr>
      <w:r>
        <w:rPr/>
        <w:t>Szczegółowe zestawienie powstających w projektowanej Instalacji strumieni ścieków, wraz z określeniem ich ilości i charakterystyki, przedstawiono w rozdzia</w:t>
      </w:r>
      <w:r>
        <w:rPr>
          <w:color w:val="00000A"/>
        </w:rPr>
        <w:t>le 11.2.4.</w:t>
      </w:r>
    </w:p>
    <w:p>
      <w:pPr>
        <w:pStyle w:val="Normal"/>
        <w:rPr/>
      </w:pPr>
      <w:r>
        <w:rPr/>
      </w:r>
    </w:p>
    <w:p>
      <w:pPr>
        <w:pStyle w:val="Nagwek3"/>
        <w:numPr>
          <w:ilvl w:val="2"/>
          <w:numId w:val="2"/>
        </w:numPr>
        <w:ind w:hanging="851"/>
        <w:rPr/>
      </w:pPr>
      <w:bookmarkStart w:id="32" w:name="_Toc518331295"/>
      <w:r>
        <w:rPr/>
        <w:t>Etap likwidacji</w:t>
      </w:r>
      <w:bookmarkEnd w:id="32"/>
      <w:r>
        <w:rPr/>
        <w:t xml:space="preserve"> </w:t>
      </w:r>
    </w:p>
    <w:p>
      <w:pPr>
        <w:pStyle w:val="Normal"/>
        <w:rPr/>
      </w:pPr>
      <w:r>
        <w:rPr/>
        <w:t xml:space="preserve">Zakłada się, że w przypadku całkowitej likwidacji inwestycji przeprowadzane działania obejmą rozbiórkę obiektów wraz z demontażem urządzeń, po wcześniejszym ich opróżnieniu (możliwe jest także przeprowadzenie częściowej likwidacji zakładu obejmującej wyłącznie demontaż urządzeń technologicznych bez rozbiórki obiektów). Przewidywane emisje związane z  etapem likwidacji będą zbliżone do etapu realizacji przedsięwzięcia (likwidacja całkowita) lub niższe w przypadku likwidacji częściowej. </w:t>
      </w:r>
    </w:p>
    <w:p>
      <w:pPr>
        <w:pStyle w:val="Normal"/>
        <w:rPr/>
      </w:pPr>
      <w:r>
        <w:rPr/>
        <w:t>Proces demontażu infrastruktury technicznej prowadzony będzie, ze szczególną ostrożnością i pod nadzorem, w celu wyeliminowania negatywnego wpływu na środowisko. Przebieg procesu likwidacji będzie monitorowany i dokumentowany, zgodnie z obowiązującymi przepisami.</w:t>
      </w:r>
    </w:p>
    <w:p>
      <w:pPr>
        <w:pStyle w:val="Normal"/>
        <w:rPr/>
      </w:pPr>
      <w:r>
        <w:rPr/>
        <w:t xml:space="preserve">Taki sposób zakończenia eksploatacji nie spowoduje znacznego wzrostu ilości i rodzaju wytwarzanych odpadów. Urządzenia wchodzące w skład instalacji technologicznych będą zagospodarowane w innych zakładach należących do inwestora lub zostaną odsprzedane. Powstałe odpady, stanowiące głównie typowe rozbiórkowe odpady budowlane, zostaną przekazane podmiotom posiadającym stosowne decyzje administracyjne w zakresie gospodarowania tego rodzaju odpadami. Należy przy tym zaznaczyć, że ewentualne powstanie tego rodzaju odpadów będzie dotyczyć wyłącznie sytuacji, w której właściciel obiektu podejmie decyzję o rozbiórce budynku, co ze względu na lokalizację (tereny przemysłowe) wydaje się nieuzasadnione ekonomicznie oraz organizacyjnie. </w:t>
      </w:r>
    </w:p>
    <w:p>
      <w:pPr>
        <w:pStyle w:val="Normal"/>
        <w:rPr/>
      </w:pPr>
      <w:r>
        <w:rPr/>
      </w:r>
    </w:p>
    <w:p>
      <w:pPr>
        <w:pStyle w:val="Nagwek2"/>
        <w:numPr>
          <w:ilvl w:val="1"/>
          <w:numId w:val="2"/>
        </w:numPr>
        <w:ind w:hanging="578"/>
        <w:rPr/>
      </w:pPr>
      <w:bookmarkStart w:id="33" w:name="_Toc518331296"/>
      <w:bookmarkEnd w:id="33"/>
      <w:r>
        <w:rPr/>
        <w:t>Różnorodność biologiczna, wykorzystywanie zasobów naturalnych, w tym gleby, wody i powierzchni ziemi</w:t>
      </w:r>
    </w:p>
    <w:p>
      <w:pPr>
        <w:pStyle w:val="Normal"/>
        <w:rPr/>
      </w:pPr>
      <w:r>
        <w:rPr/>
        <w:t>Planowane przedsięwzięcie będzie realizowane na zagospodarowanym terenie nieczynnej kotłowni. Jest to teren z istniejącym budynkami oraz częściowo utwardzony. Powierzchnię biologicznie czynną stanowią trawniki oraz pas drzew przy północnym ogrodzeniu działki. Na terenie trawników, w związku z brakiem zabiegów pielęgnacyjnych pojawiły się samosiejki drzew i krzewów. Są to młode osobniki roślin pionierskich, świadczące o trwającej na tym terenie od kilku lat spontanicznej sukcesji wtórnej. W sąsiedztwie budynków występują także zasadzone drzewa, głównie świerki. Na terenie nie występują siedliska, na których może występować roślinność zbliżona do naturalnej. Istniejące powierzchnie biologicznie czynne mają charakter wybitnie ruderalny. Roślinność jest stale kształtowana (wydeptywanie, użytkowanie terenu jako miejsca składu różnego rodzaju materiałów) co uniemożliwia rozwój naturalnych procesów sukcesyjnych. Na terenie nie stwierdzono stałego występowania zwierząt.</w:t>
      </w:r>
    </w:p>
    <w:p>
      <w:pPr>
        <w:pStyle w:val="Normal"/>
        <w:rPr/>
      </w:pPr>
      <w:r>
        <w:rPr/>
        <w:t>W wyniku realizacji przedsięwzięcia przewiduje się urządzenie zieleni, poprzez zasianie trawników oraz zasadzenie krzewów ozdobnych, co niewątpliwie podniesie walor estetyczny terenu. W związku z pracami budowlanymi zostaną usunięte sztucznie nasadzone drzewa oraz drzewa i krzewy, które pojawiły się na tym terenie w wyniku procesów sukcesyjnych. Nie przewiduje się wycinki drzew rosnących wzdłuż północnej granicy działki.</w:t>
      </w:r>
    </w:p>
    <w:p>
      <w:pPr>
        <w:pStyle w:val="Normal"/>
        <w:rPr/>
      </w:pPr>
      <w:r>
        <w:rPr/>
        <w:t xml:space="preserve">Wykorzystanie poszczególnych komponentów środowiska będzie na zbliżonym poziomie do  obecnego. Gleby i wody nie będą wykorzystywane. Istniejące budynki zostaną zastąpione zabudową o zbliżonej wielkości. </w:t>
      </w:r>
    </w:p>
    <w:p>
      <w:pPr>
        <w:pStyle w:val="Normal"/>
        <w:spacing w:lineRule="auto" w:line="360"/>
        <w:rPr/>
      </w:pPr>
      <w:r>
        <w:rPr/>
      </w:r>
    </w:p>
    <w:p>
      <w:pPr>
        <w:pStyle w:val="Nagwek1"/>
        <w:numPr>
          <w:ilvl w:val="0"/>
          <w:numId w:val="2"/>
        </w:numPr>
        <w:rPr/>
      </w:pPr>
      <w:bookmarkStart w:id="34" w:name="_Toc518331297"/>
      <w:bookmarkEnd w:id="34"/>
      <w:r>
        <w:rPr/>
        <w:t>RYZYKO WYSTĄPIENIA POWAŻNYCH AWARII LUB KATASTROF NATURALNYCH I BUDOWLANYCH, PRZY UWZGLĘDNIENIU UŻYWANYCH SUBSTANCJI I STOSOWANYCH TECHNOLOGII, W TYM RYZYKO ZWIĄZANE ZE ZMIANĄ KLIMATU</w:t>
      </w:r>
    </w:p>
    <w:p>
      <w:pPr>
        <w:pStyle w:val="Normal"/>
        <w:rPr/>
      </w:pPr>
      <w:r>
        <w:rPr/>
        <w:t>Planowane przedsięwzięcie nie jest zaliczone do zakładu stwarzającego zagrożenie wystąpienia poważnej awarii przemysłowej, rozumianego jako zakład o zwiększonym ryzyku lub zakład o dużym ryzyku wystąpienia poważnej awarii przemysłowej. Znajdujące się na jego terenie (wykorzystywane i składowane substancje niebezpieczne tj. mieszaniny chemiczne i odpady niebezpieczne) nie spełniają kryteriów ilościowych i jakościowych (określonych substancji niebezpiecznych i kategorii niebezpiecznych substancji i mieszanin) decydujących o jego zaliczeniu do powyższej kategorii zakładu.</w:t>
      </w:r>
    </w:p>
    <w:p>
      <w:pPr>
        <w:pStyle w:val="Normal"/>
        <w:rPr>
          <w:szCs w:val="24"/>
        </w:rPr>
      </w:pPr>
      <w:r>
        <w:rPr>
          <w:szCs w:val="24"/>
        </w:rPr>
        <w:t xml:space="preserve">Substancje niebezpieczne stwarzające zagrożenie wystąpienia poważnej awarii przemysłowej w rozumieniu definicji substancji niebezpiecznej i poważnej awarii przemysłowej, zawartej w </w:t>
      </w:r>
      <w:r>
        <w:rPr>
          <w:i/>
          <w:szCs w:val="24"/>
        </w:rPr>
        <w:t>ustawie Prawo ochrony środowiska</w:t>
      </w:r>
      <w:r>
        <w:rPr>
          <w:szCs w:val="24"/>
        </w:rPr>
        <w:t xml:space="preserve">, jakie będą znajdować się na terenie planowanego przedsięwzięcia  w warunkach tzw. normalnej eksploatacji instalacji stanowią: </w:t>
      </w:r>
    </w:p>
    <w:p>
      <w:pPr>
        <w:pStyle w:val="Normal"/>
        <w:numPr>
          <w:ilvl w:val="0"/>
          <w:numId w:val="76"/>
        </w:numPr>
        <w:rPr>
          <w:szCs w:val="24"/>
        </w:rPr>
      </w:pPr>
      <w:r>
        <w:rPr>
          <w:szCs w:val="24"/>
        </w:rPr>
        <w:t xml:space="preserve">olej </w:t>
      </w:r>
      <w:r>
        <w:rPr/>
        <w:t>lekki</w:t>
      </w:r>
      <w:r>
        <w:rPr>
          <w:szCs w:val="24"/>
        </w:rPr>
        <w:t xml:space="preserve"> opałowy znajdujący się w zakładzie w łącznej ilości nie większej niż 22,5 Mg (cztery naziemne zbiorniki o pojemności 9000 dm</w:t>
      </w:r>
      <w:r>
        <w:rPr>
          <w:szCs w:val="24"/>
          <w:vertAlign w:val="superscript"/>
        </w:rPr>
        <w:t>3</w:t>
      </w:r>
      <w:r>
        <w:rPr>
          <w:szCs w:val="24"/>
        </w:rPr>
        <w:t xml:space="preserve"> każdy, posadowione w tacach betonowych w wydzielonym miejscu w budynku kotłowni),</w:t>
      </w:r>
    </w:p>
    <w:p>
      <w:pPr>
        <w:pStyle w:val="Normal"/>
        <w:numPr>
          <w:ilvl w:val="0"/>
          <w:numId w:val="76"/>
        </w:numPr>
        <w:rPr>
          <w:szCs w:val="24"/>
        </w:rPr>
      </w:pPr>
      <w:r>
        <w:rPr>
          <w:szCs w:val="24"/>
        </w:rPr>
        <w:t xml:space="preserve">odpady </w:t>
      </w:r>
      <w:r>
        <w:rPr/>
        <w:t>niebezpieczne</w:t>
      </w:r>
      <w:r>
        <w:rPr>
          <w:szCs w:val="24"/>
        </w:rPr>
        <w:t xml:space="preserve"> o kodzie 19 01 05* magazynowane w maksymalnej łącznej ilości do 40,0 Mg (odpady magazynowane będą w opakowaniach typu big-bag w odrębnym zadaszonym i utwardzonym miejscu i usuwane z terenu zakładu nie rzadziej niż raz na 14 dni). </w:t>
      </w:r>
    </w:p>
    <w:p>
      <w:pPr>
        <w:pStyle w:val="Normal"/>
        <w:rPr>
          <w:szCs w:val="24"/>
        </w:rPr>
      </w:pPr>
      <w:r>
        <w:rPr>
          <w:szCs w:val="24"/>
        </w:rPr>
        <w:t>Przewidywane i deklarowane przez Inwestora maksymalne ilości ww. rodzajów substancji niebezpiecznych nie kwalifikują przedsięwzięcia do zakładu o zwiększonym ryzyku oraz zakładu o dużym ryzyku wystąpienia poważnej awarii przemysłowej, zgodnie z kryteriami jakościowo-ilościowymi Rozporządzenia Ministra Rozwoju</w:t>
      </w:r>
      <w:r>
        <w:rPr>
          <w:i/>
          <w:szCs w:val="24"/>
        </w:rPr>
        <w:t xml:space="preserve"> z dnia 29 stycznia 2016r. w sprawie rodzajów i ilości znajdujących się w zakładzie substancji niebezpiecznych, decydujących o zaliczeniu zakładu do zakładu o zwiększonym lub dużym ryzyku wystąpienia poważnej awarii przemysłowej </w:t>
      </w:r>
      <w:r>
        <w:rPr>
          <w:szCs w:val="24"/>
        </w:rPr>
        <w:t>(Dz.U.2016.138 z dnia 2016.02.02).</w:t>
      </w:r>
    </w:p>
    <w:p>
      <w:pPr>
        <w:pStyle w:val="Normal"/>
        <w:rPr>
          <w:szCs w:val="24"/>
        </w:rPr>
      </w:pPr>
      <w:r>
        <w:rPr>
          <w:szCs w:val="24"/>
        </w:rPr>
        <w:t>Planowane przedsięwzięcie nie jest także zaliczone do zakładu o zwiększonym ryzyku oraz zakładu o dużym ryzyku wystąpienia poważnej awarii przemysłowej, po zastosowaniu zasady sumowania (objaśnienie nr 4.3 do tabel ww. rozporządzenia kwalifikacyjnego), przy sumowaniu substancji niebezpiecznych wymienionych w tabeli 2, które są niebezpieczne dla środowiska wodnego w kategorii ostre 1, w kategorii przewlekłe 1 lub kategorii przewlekłe 2, razem z substancjami niebezpiecznymi objętymi działem E (pozycje E1-E2 tabeli 1), ponieważ uzyskane sumy przy ocenie zagrożeń dla środowiska nie są równe lub większe 1:</w:t>
      </w:r>
    </w:p>
    <w:p>
      <w:pPr>
        <w:pStyle w:val="Normal"/>
        <w:spacing w:before="120" w:after="0"/>
        <w:rPr>
          <w:i/>
          <w:i/>
          <w:szCs w:val="24"/>
        </w:rPr>
      </w:pPr>
      <w:r>
        <w:rPr>
          <w:i/>
          <w:szCs w:val="24"/>
        </w:rPr>
      </w:r>
    </w:p>
    <w:p>
      <w:pPr>
        <w:pStyle w:val="Normal"/>
        <w:spacing w:before="120" w:after="0"/>
        <w:rPr>
          <w:i/>
          <w:i/>
          <w:szCs w:val="24"/>
        </w:rPr>
      </w:pPr>
      <w:r>
        <w:rPr>
          <w:i/>
          <w:szCs w:val="24"/>
        </w:rPr>
        <w:t>próba zaliczenia zakładu do zakładu o zwiększonym ryzyku:</w:t>
      </w:r>
    </w:p>
    <w:p>
      <w:pPr>
        <w:pStyle w:val="Normal"/>
        <w:rPr>
          <w:b/>
          <w:b/>
          <w:szCs w:val="24"/>
        </w:rPr>
      </w:pPr>
      <w:r>
        <w:rPr>
          <w:szCs w:val="24"/>
        </w:rPr>
        <w:t xml:space="preserve">22,5/2500+40/100=0,009+0,4=0,409 </w:t>
      </w:r>
      <w:r>
        <w:rPr>
          <w:b/>
          <w:szCs w:val="24"/>
        </w:rPr>
        <w:t>&lt;1</w:t>
      </w:r>
    </w:p>
    <w:p>
      <w:pPr>
        <w:pStyle w:val="Normal"/>
        <w:rPr>
          <w:i/>
          <w:i/>
          <w:szCs w:val="24"/>
        </w:rPr>
      </w:pPr>
      <w:r>
        <w:rPr>
          <w:i/>
          <w:szCs w:val="24"/>
        </w:rPr>
        <w:t>próba zaliczenia zakładu do zakładu o dużym ryzyku:</w:t>
      </w:r>
    </w:p>
    <w:p>
      <w:pPr>
        <w:pStyle w:val="Normal"/>
        <w:spacing w:before="0" w:after="120"/>
        <w:rPr>
          <w:b/>
          <w:b/>
          <w:szCs w:val="24"/>
        </w:rPr>
      </w:pPr>
      <w:r>
        <w:rPr>
          <w:szCs w:val="24"/>
        </w:rPr>
        <w:t>22,5/25000+40/200=0,0009+0,2=0,20009</w:t>
      </w:r>
      <w:r>
        <w:rPr>
          <w:b/>
          <w:szCs w:val="24"/>
        </w:rPr>
        <w:t>&lt;1</w:t>
      </w:r>
    </w:p>
    <w:p>
      <w:pPr>
        <w:pStyle w:val="Normal"/>
        <w:rPr>
          <w:szCs w:val="24"/>
        </w:rPr>
      </w:pPr>
      <w:r>
        <w:rPr>
          <w:szCs w:val="24"/>
        </w:rPr>
        <w:t xml:space="preserve">Pozostałe przewidziane do wytwarzania i magazynowania na terenie planowanego przedsięwzięcia  odpady niebezpieczne nie można uznać za substancje niebezpieczne stwarzające zagrożenie wystąpienia poważnej awarii przemysłowej tj. pożar, wybuch lub emisja, ze względu na ich niewielkie ilości, właściwości fizyko-chemiczne, stwarzane zagrożenia oraz sposób i miejsce składowania na terenie zakładu (oznakowane, szczelne pojemniki zlokalizowane w wydzielonych pomieszczeniach, ze szczelną posadzką przemysłową, zabezpieczone przed oddziaływanie czynników atmosferycznych tj. opady, słońce i wiatr). Preparaty chemiczne wykorzystywane w procesie oczyszczania spalanin (wodorowęglan sodu, chlorek sodu) nie są zaliczone do substancji niebezpiecznych stwarzających zagrożenie. </w:t>
      </w:r>
    </w:p>
    <w:p>
      <w:pPr>
        <w:pStyle w:val="Normal"/>
        <w:rPr>
          <w:szCs w:val="24"/>
        </w:rPr>
      </w:pPr>
      <w:r>
        <w:rPr>
          <w:szCs w:val="24"/>
        </w:rPr>
        <w:t xml:space="preserve">W sytuacji awarii urządzeń technologicznych i zakłóceń procesu termicznego spalania odpadów możliwe są do powstania substancje niebezpieczne, w tym tj. dioksyny i furany. Każda z linii technologicznych wyposażona będzie w wyrzutnię awaryjną, przewidzianą do odprowadzenia gazów z kotła </w:t>
      </w:r>
      <w:r>
        <w:rPr/>
        <w:t xml:space="preserve">odzysknicowego, w przypadku awarii systemu zasilania instalacji lub w przypadku konieczności odcięcia dopływu spalin do kotła. Skierowanie gazów spalinowych do wyrzutni awaryjnej przez krótki okres czasu z równoczesnym wstrzymaniem podawania do pieca rusztowego paliwa da możliwość natychmiastowego zatrzymania pracy pieca w przypadku awarii. </w:t>
      </w:r>
      <w:r>
        <w:rPr>
          <w:szCs w:val="24"/>
        </w:rPr>
        <w:t>Przewidywana maksymalna ilość sumy dioksyn i furanów, możliwych do powstania w trakcie awarii jednej linii technologicznej, ze względu na zastosowane rozwiązania technologiczne kształtować się będzie na poziomie 4,836 × 10</w:t>
      </w:r>
      <w:r>
        <w:rPr>
          <w:szCs w:val="24"/>
          <w:vertAlign w:val="superscript"/>
        </w:rPr>
        <w:t>-12</w:t>
      </w:r>
      <w:r>
        <w:rPr>
          <w:szCs w:val="24"/>
        </w:rPr>
        <w:t xml:space="preserve"> kg </w:t>
      </w:r>
      <w:r>
        <w:rPr>
          <w:rStyle w:val="Zakotwiczenieprzypisudolnego"/>
          <w:szCs w:val="24"/>
        </w:rPr>
        <w:footnoteReference w:id="5"/>
      </w:r>
      <w:r>
        <w:rPr>
          <w:szCs w:val="24"/>
        </w:rPr>
        <w:t xml:space="preserve"> (podana ilość uwzględnia emisję gazów spalinowych zgromadzonych z całej objętości kotła przy zatrzymaniu instalacji</w:t>
      </w:r>
      <w:r>
        <w:rPr>
          <w:rStyle w:val="Zakotwiczenieprzypisudolnego"/>
          <w:szCs w:val="24"/>
        </w:rPr>
        <w:footnoteReference w:id="6"/>
      </w:r>
      <w:r>
        <w:rPr>
          <w:szCs w:val="24"/>
        </w:rPr>
        <w:t xml:space="preserve">). W rzeczywistości taka sytuacja jest bardzo mało prawdopodobna, wielkość emisji uzależniona będzie od wielu czynników tj. rodzaju i skali awarii, wielkości i rodzaju wsadu, możliwości wykorzystania oleju opałowego w celu dopalenia zawartości pieca, a powyższe działania mogą wpłynąć znacząco na obniżenie wielkości emisji dioksyn i furanów). Ilość progowa decydująca o zaliczeniu zakładu do kategorii zakładu o dużym ryzyku wystąpienia poważnej awarii przemysłowej, zgodnie z kryteriami ww. rozporządzenia z dnia 29 stycznia 2016r. dla furanów i dioksyn, obliczonych jako ekwiwalent TCDD wynosi 0,001 Mg. Przeprowadzona na potrzeby niniejszego raportu analiza zdarzeń awaryjnych i poważnych awarii przemysłowych znajdujących się w rejestrze Głównego Inspektoratu Ochrony Środowiska (źródło: </w:t>
      </w:r>
      <w:r>
        <w:rPr/>
        <w:t>http://www.gios.gov.pl/pl/powazne-awarie</w:t>
      </w:r>
      <w:r>
        <w:rPr>
          <w:szCs w:val="24"/>
        </w:rPr>
        <w:t>) oraz doświadczenie autorów raportu wskazują na akceptowalny poziom ryzyka dla tego typu zdarzenia awaryjnego (w rejestrach GIOŚ nie zostały odnotowane poważne awarie przemysłowe w zakładach reprezentujących analogiczną lub zbliżoną technologię i zakres działalności powodujące emisję dioksyn i furanów).</w:t>
      </w:r>
    </w:p>
    <w:p>
      <w:pPr>
        <w:pStyle w:val="Normal"/>
        <w:rPr/>
      </w:pPr>
      <w:r>
        <w:rPr>
          <w:szCs w:val="24"/>
        </w:rPr>
        <w:t xml:space="preserve">Pomimo braku kwalifikacji planowanego przedsięwzięcia do kategorii zakładu stwarzającego zagrożenie wystąpienia poważnej awarii przemysłowej nie można wykluczyć wystąpienia na jego terenie zdarzeń awaryjnych/awarii, do których w szczególności zaliczyć można  pożar (szczegółowe rozwiązania dotyczące wyposażenia zakładu w urządzenia i systemy ochrony przeciwpożarowej i przed wybuchem określone zostaną na etapie sporządzania dokumentacji technicznej przez specjalistów branżowych).  </w:t>
      </w:r>
    </w:p>
    <w:p>
      <w:pPr>
        <w:pStyle w:val="Normal"/>
        <w:rPr>
          <w:szCs w:val="24"/>
        </w:rPr>
      </w:pPr>
      <w:r>
        <w:rPr>
          <w:szCs w:val="24"/>
        </w:rPr>
        <w:t xml:space="preserve">Systemy bezpieczeństwa i ochrony instalacji procesowej obejmą niżej wyszczególnione kategorie systemów zabezpieczeń (nazywanych również barierami): </w:t>
      </w:r>
    </w:p>
    <w:p>
      <w:pPr>
        <w:pStyle w:val="ListParagraph"/>
        <w:numPr>
          <w:ilvl w:val="0"/>
          <w:numId w:val="77"/>
        </w:numPr>
        <w:rPr>
          <w:szCs w:val="24"/>
        </w:rPr>
      </w:pPr>
      <w:r>
        <w:rPr>
          <w:szCs w:val="24"/>
        </w:rPr>
        <w:t xml:space="preserve"> </w:t>
      </w:r>
      <w:r>
        <w:rPr>
          <w:szCs w:val="24"/>
        </w:rPr>
        <w:t>systemy pomiarów i automatyki, systemy hermetyzacji procesu, organizację pracy, zabezpieczenia antykorozyjne, instalację odgromową, inne – tzw. warstwę zapobiegania,</w:t>
      </w:r>
    </w:p>
    <w:p>
      <w:pPr>
        <w:pStyle w:val="ListParagraph"/>
        <w:numPr>
          <w:ilvl w:val="0"/>
          <w:numId w:val="77"/>
        </w:numPr>
        <w:rPr>
          <w:szCs w:val="24"/>
        </w:rPr>
      </w:pPr>
      <w:r>
        <w:rPr>
          <w:szCs w:val="24"/>
        </w:rPr>
        <w:t xml:space="preserve"> </w:t>
      </w:r>
      <w:r>
        <w:rPr>
          <w:szCs w:val="24"/>
        </w:rPr>
        <w:t>wydzielenia pożarowe, strefy zagrożenia wybuchem, szczelne, przemysłowe nawierzchnie, tace, alarmy poziomów krytycznych, zawory bezpieczeństwa, urządzenia detekcji, wyłączenia awaryjne, urządzenia i systemy ochrony ppoż., zorganizowany system retencji wód gaśniczych – tzw. warstwa przeciwdziałania i ochrony.</w:t>
      </w:r>
    </w:p>
    <w:p>
      <w:pPr>
        <w:pStyle w:val="ListParagraph"/>
        <w:ind w:hanging="0"/>
        <w:rPr>
          <w:szCs w:val="24"/>
        </w:rPr>
      </w:pPr>
      <w:r>
        <w:rPr>
          <w:szCs w:val="24"/>
        </w:rPr>
      </w:r>
    </w:p>
    <w:p>
      <w:pPr>
        <w:pStyle w:val="Normal"/>
        <w:rPr>
          <w:szCs w:val="24"/>
        </w:rPr>
      </w:pPr>
      <w:r>
        <w:rPr>
          <w:szCs w:val="24"/>
        </w:rPr>
        <w:t xml:space="preserve">Najczęstszą przyczyną zdarzeń awaryjnych są tzw. błędy ludzkie. Potencjalne zagrożenie wynikające z błędów operatorskich przy obsłudze urządzeń i instalacji i/lub niewłaściwej ich konserwacji zostanie wyeliminowane na etapie eksploatacji zakładu. W celu ograniczenia takich zdarzeń, zgodnie z wymogami prawnymi dla projektowanej linii technologicznej opracowana zostanie instrukcja obsługi, w której zawarte zostaną szczegółowe wytyczne dotyczące zasad jej użytkowania w celu zapewnienia prawidłowego przebiegu procesu oraz jego zgodności </w:t>
        <w:br/>
        <w:t xml:space="preserve">z przepisami ochrony środowiska, BHP i ppoż. oraz dokumentacją techniczno-ruchową (DTR). W instrukcji zawarte zostaną planowane do podejmowania działania w przypadku zakłóceń pracy instalacji oraz w sytuacji odbiegających od normalnych warunków jej pracy tj. </w:t>
        <w:br/>
        <w:t xml:space="preserve">w sytuacjach awaryjnych. Pracą instalacji sterować będą zintegrowane układy automatyki przemysłowej, nad którymi kontrolę sprawować będą uprawnieni i wykwalifikowani pracownicy (urządzenia monitorujące po przekroczeniu ustawionych parametrów technologicznych wysyłają sygnał alarmowy, który automatycznie powoduje przejście pracy urządzenia w tryb pracy awaryjny, w przypadku zauważonych przez obsługę nieprawidłowości możliwe jest także ręczne zatrzymanie pracy urządzeń za pomocą wyłączników bezpieczeństwa). Wszyscy pracownicy podlegać będą okresowym szkoleniom stanowiskowym (specjalistycznym) i ogólnym (BHP, ppoż., inne), adekwatnym do zajmowanego stanowiska oraz powierzonych zadań </w:t>
        <w:br/>
        <w:t xml:space="preserve">i odpowiedzialności. Przed przystąpieniem do pracy wszyscy pracownicy zostaną zapoznani </w:t>
        <w:br/>
        <w:t xml:space="preserve">z dokumentacją techniczno-ruchową i instrukcją obsługi opracowaną dla planowanej instalacji. </w:t>
      </w:r>
    </w:p>
    <w:p>
      <w:pPr>
        <w:pStyle w:val="Normal"/>
        <w:ind w:hanging="0"/>
        <w:rPr>
          <w:szCs w:val="24"/>
        </w:rPr>
      </w:pPr>
      <w:r>
        <w:rPr>
          <w:szCs w:val="24"/>
        </w:rPr>
        <w:t xml:space="preserve">Pracownicy zakładu zostaną wyposażeni w środki ochrony indywidualnej, zgodnie </w:t>
        <w:br/>
        <w:t xml:space="preserve">z obowiązującymi w tym zakresie przepisami BHP oraz kodeksu pracy. Podstawowe wyposażenie obejmie: odpowiednie ubranie robocze, zabezpieczenie głowy, oczu, stóp, rąk </w:t>
        <w:br/>
        <w:t xml:space="preserve">i słuchu oraz kamizelkę ostrzegawczą. Odpowiednio do wykonywanych czynności oraz stopnia zagrożenia wynikającego z realizowanych prac pracownicy wyposażeni zostaną </w:t>
        <w:br/>
        <w:t xml:space="preserve">w dodatkowe, poza ww. wyszczególnionym wyposażenie ochronne. </w:t>
      </w:r>
    </w:p>
    <w:p>
      <w:pPr>
        <w:pStyle w:val="Normal"/>
        <w:rPr>
          <w:szCs w:val="24"/>
          <w:highlight w:val="yellow"/>
        </w:rPr>
      </w:pPr>
      <w:r>
        <w:rPr>
          <w:szCs w:val="24"/>
        </w:rPr>
        <w:t xml:space="preserve">Planowane do zastosowania rozwiązania techniczne i wdrożone środki bezpieczeństwa techniczne i organizacyjno-proceduralne spowodują obniżenia poziomu ryzyka wystąpienia zdarzeń awaryjnych i awarii do akceptowalnego i tolerowalnego poziomu ryzyka (niskie prawdopodobieństwo wystąpienia awarii przy braku długotrwałych, negatywnych skutków dla zdrowia i życia ludzi oraz środowiska i mienia zakładu). </w:t>
      </w:r>
    </w:p>
    <w:p>
      <w:pPr>
        <w:pStyle w:val="Normal"/>
        <w:rPr>
          <w:szCs w:val="24"/>
        </w:rPr>
      </w:pPr>
      <w:r>
        <w:rPr>
          <w:szCs w:val="24"/>
        </w:rPr>
        <w:t xml:space="preserve">Poniżej zestawiono główne planowane do wdrożenia środki i systemy bezpieczeństwa w celu zapobiegania zdarzeniom awaryjnym w zakładzie oraz ograniczania ich skutków dla życia </w:t>
        <w:br/>
        <w:t>i zdrowia ludzi, mienia zakładu i środowiska:</w:t>
      </w:r>
    </w:p>
    <w:p>
      <w:pPr>
        <w:pStyle w:val="ListParagraph"/>
        <w:numPr>
          <w:ilvl w:val="0"/>
          <w:numId w:val="77"/>
        </w:numPr>
        <w:rPr>
          <w:szCs w:val="24"/>
        </w:rPr>
      </w:pPr>
      <w:r>
        <w:rPr>
          <w:szCs w:val="24"/>
        </w:rPr>
        <w:t>opracowanie dokumentacji techniczno-ruchowej  wraz z instrukcją obsługi urządzeń,</w:t>
      </w:r>
    </w:p>
    <w:p>
      <w:pPr>
        <w:pStyle w:val="ListParagraph"/>
        <w:numPr>
          <w:ilvl w:val="0"/>
          <w:numId w:val="77"/>
        </w:numPr>
        <w:rPr>
          <w:szCs w:val="24"/>
        </w:rPr>
      </w:pPr>
      <w:r>
        <w:rPr>
          <w:szCs w:val="24"/>
        </w:rPr>
        <w:t>opracowanie instrukcji stanowiskowych,</w:t>
      </w:r>
    </w:p>
    <w:p>
      <w:pPr>
        <w:pStyle w:val="ListParagraph"/>
        <w:numPr>
          <w:ilvl w:val="0"/>
          <w:numId w:val="77"/>
        </w:numPr>
        <w:rPr>
          <w:szCs w:val="24"/>
        </w:rPr>
      </w:pPr>
      <w:r>
        <w:rPr>
          <w:szCs w:val="24"/>
        </w:rPr>
        <w:t>wdrożenie systemu nadzoru i kontroli (konserwacja, naprawy, przeglądy) urządzeń technologicznych zgodnie z wymogami dokumentacji techniczno-ruchowej (DTR),</w:t>
      </w:r>
    </w:p>
    <w:p>
      <w:pPr>
        <w:pStyle w:val="ListParagraph"/>
        <w:numPr>
          <w:ilvl w:val="0"/>
          <w:numId w:val="77"/>
        </w:numPr>
        <w:rPr>
          <w:szCs w:val="24"/>
        </w:rPr>
      </w:pPr>
      <w:r>
        <w:rPr>
          <w:szCs w:val="24"/>
        </w:rPr>
        <w:t>szkolenia pracowników zakładu,</w:t>
      </w:r>
    </w:p>
    <w:p>
      <w:pPr>
        <w:pStyle w:val="ListParagraph"/>
        <w:numPr>
          <w:ilvl w:val="0"/>
          <w:numId w:val="77"/>
        </w:numPr>
        <w:rPr>
          <w:szCs w:val="24"/>
        </w:rPr>
      </w:pPr>
      <w:r>
        <w:rPr>
          <w:szCs w:val="24"/>
        </w:rPr>
        <w:t xml:space="preserve">zintegrowane układy automatyki przemysłowej z jednoczesnym monitoringiem </w:t>
        <w:br/>
        <w:t>i wizualizacją procesów oraz modułem archiwizacji (szafa sterownicza, panel sterowania i oprogramowanie do sterowania),</w:t>
      </w:r>
    </w:p>
    <w:p>
      <w:pPr>
        <w:pStyle w:val="ListParagraph"/>
        <w:numPr>
          <w:ilvl w:val="0"/>
          <w:numId w:val="77"/>
        </w:numPr>
        <w:rPr>
          <w:szCs w:val="24"/>
        </w:rPr>
      </w:pPr>
      <w:r>
        <w:rPr>
          <w:szCs w:val="24"/>
        </w:rPr>
        <w:t>aparatura kontrolno-pomiarowa (w tym: czujniki kontrolno-pomiarowe pieca rusztowego, czujniki podciśnień, czujniki temperatur, analizator tlenu, inne),</w:t>
      </w:r>
    </w:p>
    <w:p>
      <w:pPr>
        <w:pStyle w:val="ListParagraph"/>
        <w:numPr>
          <w:ilvl w:val="0"/>
          <w:numId w:val="77"/>
        </w:numPr>
        <w:rPr>
          <w:szCs w:val="24"/>
        </w:rPr>
      </w:pPr>
      <w:r>
        <w:rPr>
          <w:szCs w:val="24"/>
        </w:rPr>
        <w:t>wyrzutnie bezpieczeństwa (ich głównym zadaniem będzie rozładowanie potencjału cieplnego oraz energii emitowanej z rozgrzanej ceramiki, mogą zostać także wykorzystane do odprowadzania spalin ze spalania oleju opałowego podczas wygaszania pieca rusztowego, w przypadku np. awarii kotła odzysknicowego lub systemu oczyszczania spalin),</w:t>
      </w:r>
    </w:p>
    <w:p>
      <w:pPr>
        <w:pStyle w:val="ListParagraph"/>
        <w:numPr>
          <w:ilvl w:val="0"/>
          <w:numId w:val="77"/>
        </w:numPr>
        <w:rPr>
          <w:szCs w:val="24"/>
        </w:rPr>
      </w:pPr>
      <w:r>
        <w:rPr>
          <w:szCs w:val="24"/>
        </w:rPr>
        <w:t>zawory bezpieczeństwa,</w:t>
      </w:r>
    </w:p>
    <w:p>
      <w:pPr>
        <w:pStyle w:val="ListParagraph"/>
        <w:numPr>
          <w:ilvl w:val="0"/>
          <w:numId w:val="77"/>
        </w:numPr>
        <w:rPr>
          <w:szCs w:val="24"/>
        </w:rPr>
      </w:pPr>
      <w:r>
        <w:rPr>
          <w:szCs w:val="24"/>
        </w:rPr>
        <w:t>urządzenia i systemy przeciwpożarowe i przeciwwybuchowe,</w:t>
      </w:r>
    </w:p>
    <w:p>
      <w:pPr>
        <w:pStyle w:val="ListParagraph"/>
        <w:numPr>
          <w:ilvl w:val="0"/>
          <w:numId w:val="77"/>
        </w:numPr>
        <w:rPr>
          <w:szCs w:val="24"/>
        </w:rPr>
      </w:pPr>
      <w:r>
        <w:rPr>
          <w:szCs w:val="24"/>
        </w:rPr>
        <w:t>środki ochrony indywidualnej pracowników zakładu,</w:t>
      </w:r>
    </w:p>
    <w:p>
      <w:pPr>
        <w:pStyle w:val="ListParagraph"/>
        <w:numPr>
          <w:ilvl w:val="0"/>
          <w:numId w:val="77"/>
        </w:numPr>
        <w:rPr>
          <w:szCs w:val="24"/>
        </w:rPr>
      </w:pPr>
      <w:r>
        <w:rPr>
          <w:szCs w:val="24"/>
        </w:rPr>
        <w:t>wyznaczone i oznakowane drogi ewakuacji,</w:t>
      </w:r>
    </w:p>
    <w:p>
      <w:pPr>
        <w:pStyle w:val="ListParagraph"/>
        <w:numPr>
          <w:ilvl w:val="0"/>
          <w:numId w:val="77"/>
        </w:numPr>
        <w:rPr>
          <w:szCs w:val="24"/>
        </w:rPr>
      </w:pPr>
      <w:r>
        <w:rPr>
          <w:szCs w:val="24"/>
        </w:rPr>
        <w:t>opracowanie i wdrożenie Instrukcji Bezpieczeństwa Pożarowego,</w:t>
      </w:r>
    </w:p>
    <w:p>
      <w:pPr>
        <w:pStyle w:val="ListParagraph"/>
        <w:numPr>
          <w:ilvl w:val="0"/>
          <w:numId w:val="77"/>
        </w:numPr>
        <w:rPr>
          <w:szCs w:val="24"/>
        </w:rPr>
      </w:pPr>
      <w:r>
        <w:rPr>
          <w:szCs w:val="24"/>
        </w:rPr>
        <w:t>utwardzone, przemysłowe, szczelne posadzki obiektów budowlanych, zabezpieczające przed emisją zanieczyszczeń do gruntu i wód gruntowych,</w:t>
      </w:r>
    </w:p>
    <w:p>
      <w:pPr>
        <w:pStyle w:val="ListParagraph"/>
        <w:numPr>
          <w:ilvl w:val="0"/>
          <w:numId w:val="77"/>
        </w:numPr>
        <w:rPr>
          <w:szCs w:val="24"/>
        </w:rPr>
      </w:pPr>
      <w:r>
        <w:rPr>
          <w:szCs w:val="24"/>
        </w:rPr>
        <w:t xml:space="preserve">zorganizowany system zbierania wód deszczowych z terenów utwardzonych, wyposażony w zasuwę umożliwiającą retencjonowanie zanieczyszczonych chemicznie wód z działań ratowniczo-gaśniczych przed ich odprowadzeniem do kanalizacji miejskiej w celu dokonania ew. pomiarów i badań zanieczyszczeń i/lub uzgodnienia warunków odprowadzania tych wód na oczyszczalnię miejską z jej administratorem), </w:t>
      </w:r>
    </w:p>
    <w:p>
      <w:pPr>
        <w:pStyle w:val="ListParagraph"/>
        <w:numPr>
          <w:ilvl w:val="0"/>
          <w:numId w:val="77"/>
        </w:numPr>
        <w:rPr>
          <w:szCs w:val="24"/>
        </w:rPr>
      </w:pPr>
      <w:r>
        <w:rPr>
          <w:szCs w:val="24"/>
        </w:rPr>
        <w:t>szczelne, specjalistyczne pojemniki dedykowane do magazynowania poszczególnych rodzajów odpadów niebezpiecznych,</w:t>
      </w:r>
    </w:p>
    <w:p>
      <w:pPr>
        <w:pStyle w:val="ListParagraph"/>
        <w:numPr>
          <w:ilvl w:val="0"/>
          <w:numId w:val="77"/>
        </w:numPr>
        <w:rPr>
          <w:szCs w:val="24"/>
        </w:rPr>
      </w:pPr>
      <w:r>
        <w:rPr>
          <w:szCs w:val="24"/>
        </w:rPr>
        <w:t>miejsce wyznaczone, dedykowane do magazynowania odpadów niebezpiecznych zabezpieczające przed oddziaływaniem czynników atmosferycznych,</w:t>
      </w:r>
    </w:p>
    <w:p>
      <w:pPr>
        <w:pStyle w:val="ListParagraph"/>
        <w:numPr>
          <w:ilvl w:val="0"/>
          <w:numId w:val="77"/>
        </w:numPr>
        <w:rPr>
          <w:szCs w:val="24"/>
        </w:rPr>
      </w:pPr>
      <w:r>
        <w:rPr>
          <w:szCs w:val="24"/>
        </w:rPr>
        <w:t>betonowa taca awaryjna w miejscu posadowienia zbiorników magazynowych oleju opałowego.</w:t>
      </w:r>
    </w:p>
    <w:p>
      <w:pPr>
        <w:pStyle w:val="Normal"/>
        <w:rPr>
          <w:szCs w:val="24"/>
        </w:rPr>
      </w:pPr>
      <w:r>
        <w:rPr>
          <w:szCs w:val="24"/>
        </w:rPr>
        <w:t xml:space="preserve">Planowane przedsięwzięcie nie jest zlokalizowane na obszarze zagrożonym katastrofami naturalnymi tj. powódź lub osuwiska. Zgodnie z wymogami technicznymi i prawnymi obiekty budowlane zakładu zostaną wyposażone w urządzenia i instalacje zabezpieczające przed wyładowaniami atmosferycznymi oraz oddziaływaniem czynników atmosferycznych.  Ponieważ obiekty zrealizowane w ramach planowanego przedsięwzięcia stanowić będą nowe budynki należy również wykluczyć możliwość wystąpienia katastrofy budowlanej. Zostaną one zaprojektowane i zrealizowane zgodnie z obowiązującymi obecnie wymogami i warunkami technicznymi określonymi w przepisach prawa budowlanego, BHP, ppoż. i ochrony środowiska. </w:t>
      </w:r>
    </w:p>
    <w:p>
      <w:pPr>
        <w:pStyle w:val="Normal"/>
        <w:spacing w:lineRule="auto" w:line="360"/>
        <w:rPr>
          <w:szCs w:val="24"/>
        </w:rPr>
      </w:pPr>
      <w:r>
        <w:rPr>
          <w:szCs w:val="24"/>
        </w:rPr>
      </w:r>
    </w:p>
    <w:p>
      <w:pPr>
        <w:pStyle w:val="Nagwek1"/>
        <w:numPr>
          <w:ilvl w:val="0"/>
          <w:numId w:val="2"/>
        </w:numPr>
        <w:rPr/>
      </w:pPr>
      <w:bookmarkStart w:id="35" w:name="_Toc518331298"/>
      <w:r>
        <w:rPr/>
        <w:t>OPIS ELEMENTÓW PRZYRODNICZYCH ŚRODOWISKA OBJĘTYCH ZAKRESEM PRZEWIDYWANEGO ODDZIAŁYWANIA PLANOWANEGO PRZEDSIĘWZIĘCIA NA ŚRODOWISKO, W TYM ELEMENTÓW ŚRODOWISKA OBJĘTYCH OCHRONĄ NA PODSTAWIE USTAWY Z DNIA 16 KWIETNIA 2004R. O OCHRONIE PRZYRODY</w:t>
      </w:r>
      <w:bookmarkEnd w:id="35"/>
      <w:r>
        <w:rPr/>
        <w:t xml:space="preserve"> </w:t>
      </w:r>
    </w:p>
    <w:p>
      <w:pPr>
        <w:pStyle w:val="Nagwek2"/>
        <w:numPr>
          <w:ilvl w:val="1"/>
          <w:numId w:val="2"/>
        </w:numPr>
        <w:ind w:hanging="578"/>
        <w:rPr/>
      </w:pPr>
      <w:bookmarkStart w:id="36" w:name="_Toc518331299"/>
      <w:bookmarkEnd w:id="36"/>
      <w:r>
        <w:rPr/>
        <w:t>Położenie fizyczno-geograficzne</w:t>
      </w:r>
    </w:p>
    <w:p>
      <w:pPr>
        <w:pStyle w:val="Normal"/>
        <w:rPr>
          <w:highlight w:val="white"/>
        </w:rPr>
      </w:pPr>
      <w:r>
        <w:rPr/>
        <w:t>Teren, na którym jest planowana realizacja inwestycji, znajduje się w zachodniej części miasta Żywca.</w:t>
      </w:r>
      <w:r>
        <w:rPr>
          <w:rStyle w:val="Strong"/>
          <w:rFonts w:ascii="Trebuchet MS" w:hAnsi="Trebuchet MS"/>
          <w:color w:val="474747"/>
          <w:shd w:fill="FFFFFF" w:val="clear"/>
        </w:rPr>
        <w:t xml:space="preserve"> </w:t>
      </w:r>
      <w:r>
        <w:rPr>
          <w:shd w:fill="FFFFFF" w:val="clear"/>
        </w:rPr>
        <w:t>Według fizyczno-geograficznej regionalizacji Polski  (Kondracki, 2002) obszar ten należy do mezoregionu Kotliny Żywieckiej (rysunek 5)</w:t>
      </w:r>
      <w:r>
        <w:rPr>
          <w:rStyle w:val="Strong"/>
          <w:b w:val="false"/>
          <w:shd w:fill="FFFFFF" w:val="clear"/>
        </w:rPr>
        <w:t>, położonego</w:t>
      </w:r>
      <w:r>
        <w:rPr>
          <w:rStyle w:val="Strong"/>
          <w:color w:val="474747"/>
          <w:shd w:fill="FFFFFF" w:val="clear"/>
        </w:rPr>
        <w:t xml:space="preserve"> </w:t>
      </w:r>
      <w:r>
        <w:rPr>
          <w:shd w:fill="FFFFFF" w:val="clear"/>
        </w:rPr>
        <w:t>w makroregionie Beskidów Zachodnich, w  podprowincji Zewnętrznych Karpat Zachodnich, leżących z kolei w prowincji Karpaty Zachodnie.  Żywiec jest największym i jedynym miastem Kotliny Żywieckiej.</w:t>
      </w:r>
    </w:p>
    <w:p>
      <w:pPr>
        <w:pStyle w:val="Normal"/>
        <w:rPr/>
      </w:pPr>
      <w:r>
        <w:rPr/>
        <w:t>Na badanym terenie elementem wiodącym do wydzielenia jednostek fizycznogeograficznych jest rzeźba terenu i dlatego regiony te w zasadzie pokrywają się z jednostkami geomorfologicznymi wydzielonymi przez M. Klimaszewskiego [1972].</w:t>
      </w:r>
    </w:p>
    <w:p>
      <w:pPr>
        <w:pStyle w:val="Normal"/>
        <w:rPr/>
      </w:pPr>
      <w:r>
        <w:rPr/>
      </w:r>
    </w:p>
    <w:p>
      <w:pPr>
        <w:pStyle w:val="Nagwek2"/>
        <w:numPr>
          <w:ilvl w:val="1"/>
          <w:numId w:val="2"/>
        </w:numPr>
        <w:ind w:hanging="578"/>
        <w:rPr/>
      </w:pPr>
      <w:bookmarkStart w:id="37" w:name="_Toc518331300"/>
      <w:bookmarkEnd w:id="37"/>
      <w:r>
        <w:rPr/>
        <w:t>Geomorfologia</w:t>
      </w:r>
    </w:p>
    <w:p>
      <w:pPr>
        <w:pStyle w:val="Normal"/>
        <w:rPr>
          <w:bCs/>
          <w:highlight w:val="white"/>
        </w:rPr>
      </w:pPr>
      <w:r>
        <w:rPr>
          <w:rStyle w:val="Strong"/>
          <w:b w:val="false"/>
          <w:shd w:fill="FFFFFF" w:val="clear"/>
        </w:rPr>
        <w:t>Kotlina Żywiecka</w:t>
      </w:r>
      <w:r>
        <w:rPr>
          <w:b/>
          <w:shd w:fill="FFFFFF" w:val="clear"/>
        </w:rPr>
        <w:t> </w:t>
      </w:r>
      <w:r>
        <w:rPr>
          <w:rStyle w:val="Strong"/>
          <w:b w:val="false"/>
          <w:shd w:fill="FFFFFF" w:val="clear"/>
        </w:rPr>
        <w:t>(513.46)</w:t>
      </w:r>
      <w:r>
        <w:rPr>
          <w:rStyle w:val="Strong"/>
          <w:shd w:fill="FFFFFF" w:val="clear"/>
        </w:rPr>
        <w:t> </w:t>
      </w:r>
      <w:r>
        <w:rPr>
          <w:shd w:fill="FFFFFF" w:val="clear"/>
        </w:rPr>
        <w:t>tworzy trójkątne obniżenie o długości do 20 km</w:t>
      </w:r>
      <w:r>
        <w:rPr/>
        <w:t>, maksymalnej szerokości w północnej części 15 km</w:t>
      </w:r>
      <w:r>
        <w:rPr>
          <w:shd w:fill="FFFFFF" w:val="clear"/>
        </w:rPr>
        <w:t xml:space="preserve">, otoczone ze wszystkich stron górami, wzniesionymi ponad jej dno (350 – 400 m n.p.m.) na wysokość 500 – 900 m. </w:t>
      </w:r>
      <w:r>
        <w:rPr>
          <w:rStyle w:val="Strong"/>
          <w:b w:val="false"/>
          <w:shd w:fill="FFFFFF" w:val="clear"/>
        </w:rPr>
        <w:t xml:space="preserve">Według typów rzeźby Karpat </w:t>
        <w:br/>
        <w:t>(L. Starkel, 1980) Kotlina Żywiecka należy do typu - dna dolin i kotlin, otoczona przez góry niskie i wysokie pogórza (w rejonie rzeki Koszarawy) i góry średnie.</w:t>
      </w:r>
      <w:r>
        <w:rPr>
          <w:shd w:fill="FFFFFF" w:val="clear"/>
        </w:rPr>
        <w:t xml:space="preserve"> Na północy, poprzez Bramę Wilkowicką, kotlina przechodzi w Pogórze Śląskie.</w:t>
      </w:r>
      <w:r>
        <w:rPr>
          <w:rStyle w:val="Strong"/>
          <w:b w:val="false"/>
          <w:shd w:fill="FFFFFF" w:val="clear"/>
        </w:rPr>
        <w:t xml:space="preserve"> </w:t>
      </w:r>
      <w:r>
        <w:rPr>
          <w:shd w:fill="FFFFFF" w:val="clear"/>
        </w:rPr>
        <w:t>Przez kotlinę centralnie przepływa rzeka Soła, na której wybudowano zaporę w Tresnej. Powstał wówczas zbiornik zwany Jeziorem Żywieckim. Wschodnia część Żywca jest położona u ujścia rzeki Koszarawy do Soły.</w:t>
      </w:r>
    </w:p>
    <w:p>
      <w:pPr>
        <w:pStyle w:val="Normal"/>
        <w:spacing w:lineRule="auto" w:line="360"/>
        <w:rPr>
          <w:rStyle w:val="Strong"/>
          <w:b w:val="false"/>
          <w:b w:val="false"/>
          <w:shd w:fill="FFFFFF" w:val="clear"/>
        </w:rPr>
      </w:pPr>
      <w:r>
        <w:rPr>
          <w:b w:val="false"/>
          <w:shd w:fill="FFFFFF" w:val="clear"/>
        </w:rPr>
      </w:r>
    </w:p>
    <w:p>
      <w:pPr>
        <w:pStyle w:val="Normal"/>
        <w:ind w:hanging="0"/>
        <w:jc w:val="center"/>
        <w:rPr>
          <w:highlight w:val="white"/>
        </w:rPr>
      </w:pPr>
      <w:r>
        <w:rPr/>
        <w:drawing>
          <wp:inline distT="19050" distB="0" distL="19050" distR="5080">
            <wp:extent cx="4739005" cy="2937510"/>
            <wp:effectExtent l="0" t="0" r="0" b="0"/>
            <wp:docPr id="12" name="Obraz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8" descr=""/>
                    <pic:cNvPicPr>
                      <a:picLocks noChangeAspect="1" noChangeArrowheads="1"/>
                    </pic:cNvPicPr>
                  </pic:nvPicPr>
                  <pic:blipFill>
                    <a:blip r:embed="rId19"/>
                    <a:stretch>
                      <a:fillRect/>
                    </a:stretch>
                  </pic:blipFill>
                  <pic:spPr bwMode="auto">
                    <a:xfrm>
                      <a:off x="0" y="0"/>
                      <a:ext cx="4739005" cy="293751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6</w:t>
      </w:r>
      <w:r>
        <w:fldChar w:fldCharType="end"/>
      </w:r>
      <w:r>
        <w:rPr/>
        <w:t>.</w:t>
      </w:r>
      <w:r>
        <w:rPr>
          <w:b w:val="false"/>
        </w:rPr>
        <w:t xml:space="preserve"> Regiony fizyczno-geograficzne (źródło: CBDG PIG-PIB)</w:t>
      </w:r>
    </w:p>
    <w:p>
      <w:pPr>
        <w:pStyle w:val="Normal"/>
        <w:rPr>
          <w:rStyle w:val="Strong"/>
          <w:b w:val="false"/>
          <w:b w:val="false"/>
          <w:shd w:fill="FFFFFF" w:val="clear"/>
        </w:rPr>
      </w:pPr>
      <w:r>
        <w:rPr>
          <w:b w:val="false"/>
          <w:shd w:fill="FFFFFF" w:val="clear"/>
        </w:rPr>
      </w:r>
    </w:p>
    <w:p>
      <w:pPr>
        <w:pStyle w:val="Normal"/>
        <w:rPr/>
      </w:pPr>
      <w:r>
        <w:rPr>
          <w:shd w:fill="FFFFFF" w:val="clear"/>
        </w:rPr>
        <w:t xml:space="preserve">W sensie geologiczno-geomorfologicznym obszar Kotliny Żywieckiej jest częścią Obniżenia Jabłonkowskiego, założonego na granicy jednostki śląskiej i magurskiej, na skałach o małej odporności. </w:t>
      </w:r>
      <w:r>
        <w:rPr/>
        <w:t>Jest pochodzenia erozyjno-denudacyjnego. Złożony w całości mało odporny wysad okienny uległ łatwemu niszczeniu przez zbiegające się tutaj wody Soły, Koszarawy, Leśnej, Żylicy, Łękawki i Juszczynki. Główne rysy rzeźby są tutaj niezgodne z budową geologiczną. Na miejscu zrębu tektonicznego w</w:t>
      </w:r>
      <w:r>
        <w:rPr>
          <w:shd w:fill="FFFFFF" w:val="clear"/>
        </w:rPr>
        <w:t xml:space="preserve"> procesie erozji powstała rozległa kotlina. Występuje więc inwersja rzeźby. </w:t>
      </w:r>
      <w:r>
        <w:rPr/>
        <w:t>Niszczenie ułatwione było tym, że cienka pokrywa utworów płaszczowiny godulskiej, przykrywająca mało odporne elewacje serii podśląskiej i cieszyńskiej, była porozrywana wzdłuż elewacji (uskoków) podłużnych i poprzecznych. Miejsce to na powierzchni inicjalnej było bardziej podatne na niszczenie w porównaniu z otaczającymi odpornymi warstwami serii płaszczowiny godulskiej i magurskiej.</w:t>
      </w:r>
    </w:p>
    <w:p>
      <w:pPr>
        <w:pStyle w:val="Normal"/>
        <w:rPr>
          <w:highlight w:val="white"/>
        </w:rPr>
      </w:pPr>
      <w:r>
        <w:rPr/>
        <w:t xml:space="preserve">W efekcie spłukiwania, przemieszczeń grawitacyjnych i transportu fluwialnego materiału stokowego, występują na jej stokach i podnóżach miąższe pokrywy soliflukcyjno-deluwialne. </w:t>
      </w:r>
      <w:r>
        <w:rPr>
          <w:shd w:fill="FFFFFF" w:val="clear"/>
        </w:rPr>
        <w:t>D</w:t>
      </w:r>
      <w:r>
        <w:rPr/>
        <w:t>no kotliny jest wyścielone pokrywami akumulacyjnymi Soły, Koszarawy i innych potoków wypływających z Beskidów. Na pokrywach tych znajdują się gleby aluwialne powstałe z nanosów rzek. W dnach kotliny i większych dolin (Soły i Koszarawy) można wyróżnić następujące facje: kamieńcowe i łęgowe, facje tarasów niższych i wyższych oraz facje krawędzi tarasów wyższych. Powyższe facje stanowią wyraźne mikrorejony o odrębnych stosunkach mikroklimatycznych, wodnych, glebowych i roślinnych. W dnie Kotliny Żywieckiej przede wszystkim zostały przeobrażone koryta i tarasy łęgowe. Tarasy łęgowe uległy rozcięciu przez koryta, a tarasy denne zostały podwyższone akumulacją kamieńca i glin.</w:t>
      </w:r>
    </w:p>
    <w:p>
      <w:pPr>
        <w:pStyle w:val="Normal"/>
        <w:rPr/>
      </w:pPr>
      <w:r>
        <w:rPr/>
        <w:t>Obecnie na rzeźbę terenu mają wpływ współczesne procesy rzeźbotwórcze, spowodowane przez opady nawalne, wezbrania i powodzie, wylesienia, urbanizację itp., powodujące na stokach dolin i kotlin na dużą skalę ruchy masowe oraz zmiany w korytach rzek.</w:t>
      </w:r>
    </w:p>
    <w:p>
      <w:pPr>
        <w:pStyle w:val="Normal"/>
        <w:rPr/>
      </w:pPr>
      <w:r>
        <w:rPr/>
        <w:t>Teren projektowanej inwestycji, jak prezentuje poniższa mapa, jest zlokalizowany na obszarze równin zalewowych w krajobrazie dolin i obniżeń (A. Rychling 1992). Znajduje się on poza obszarem predysponowanym do wystąpienia ruchów masowych.</w:t>
      </w:r>
    </w:p>
    <w:p>
      <w:pPr>
        <w:pStyle w:val="Normal"/>
        <w:spacing w:lineRule="auto" w:line="360"/>
        <w:rPr/>
      </w:pPr>
      <w:r>
        <w:rPr/>
      </w:r>
    </w:p>
    <w:p>
      <w:pPr>
        <w:pStyle w:val="Normal"/>
        <w:ind w:hanging="0"/>
        <w:jc w:val="center"/>
        <w:rPr/>
      </w:pPr>
      <w:r>
        <w:rPr/>
        <w:drawing>
          <wp:inline distT="0" distB="0" distL="0" distR="0">
            <wp:extent cx="4564380" cy="3762375"/>
            <wp:effectExtent l="0" t="0" r="0" b="0"/>
            <wp:docPr id="13" name="Obraz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9" descr=""/>
                    <pic:cNvPicPr>
                      <a:picLocks noChangeAspect="1" noChangeArrowheads="1"/>
                    </pic:cNvPicPr>
                  </pic:nvPicPr>
                  <pic:blipFill>
                    <a:blip r:embed="rId20"/>
                    <a:stretch>
                      <a:fillRect/>
                    </a:stretch>
                  </pic:blipFill>
                  <pic:spPr bwMode="auto">
                    <a:xfrm>
                      <a:off x="0" y="0"/>
                      <a:ext cx="4564380" cy="376237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7</w:t>
      </w:r>
      <w:r>
        <w:fldChar w:fldCharType="end"/>
      </w:r>
      <w:r>
        <w:rPr/>
        <w:t>.</w:t>
      </w:r>
      <w:r>
        <w:rPr>
          <w:b w:val="false"/>
        </w:rPr>
        <w:t xml:space="preserve"> Typy krajobrazów naturalnych w rejonie inwestycji </w:t>
        <w:br/>
        <w:t>(źródło: www.bdl.lasy.gov.pl)</w:t>
      </w:r>
    </w:p>
    <w:p>
      <w:pPr>
        <w:pStyle w:val="Normal"/>
        <w:rPr/>
      </w:pPr>
      <w:r>
        <w:rPr/>
      </w:r>
    </w:p>
    <w:p>
      <w:pPr>
        <w:pStyle w:val="Normal"/>
        <w:rPr/>
      </w:pPr>
      <w:r>
        <w:rPr/>
        <w:t xml:space="preserve">W profilu W – E wskazanym na rysunku 7, teren </w:t>
      </w:r>
      <w:r>
        <w:rPr>
          <w:szCs w:val="24"/>
        </w:rPr>
        <w:t xml:space="preserve">opada łagodnie ku wschodowi w kierunku doliny Soły. Średni spadek wynosi około 2,6%. Sam teren przedsięwzięcia jest od dawna zagospodarowany i zniwelowany. </w:t>
      </w:r>
      <w:r>
        <w:rPr/>
        <w:t>Wznosi się od około 366 m npm przy granicy zachodniej działki do 368 m npm przy wschodniej granicy. Od strony zachodniej teren przylegający do sąsiedniej działki podnosi się o około 12 m co jest spowodowane antropogenicznym przekształceniem rzeźby (sąsiedztwo wysypiska odpadów).</w:t>
      </w:r>
    </w:p>
    <w:p>
      <w:pPr>
        <w:pStyle w:val="Normal"/>
        <w:spacing w:lineRule="auto" w:line="360"/>
        <w:rPr/>
      </w:pPr>
      <w:r>
        <w:rPr/>
      </w:r>
    </w:p>
    <w:p>
      <w:pPr>
        <w:pStyle w:val="Normal"/>
        <w:ind w:hanging="0"/>
        <w:jc w:val="center"/>
        <w:rPr/>
      </w:pPr>
      <w:r>
        <w:rPr/>
        <w:drawing>
          <wp:inline distT="19050" distB="0" distL="19050" distR="0">
            <wp:extent cx="5510530" cy="2632075"/>
            <wp:effectExtent l="0" t="0" r="0" b="0"/>
            <wp:docPr id="14" name="Obraz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0" descr=""/>
                    <pic:cNvPicPr>
                      <a:picLocks noChangeAspect="1" noChangeArrowheads="1"/>
                    </pic:cNvPicPr>
                  </pic:nvPicPr>
                  <pic:blipFill>
                    <a:blip r:embed="rId21"/>
                    <a:stretch>
                      <a:fillRect/>
                    </a:stretch>
                  </pic:blipFill>
                  <pic:spPr bwMode="auto">
                    <a:xfrm>
                      <a:off x="0" y="0"/>
                      <a:ext cx="5510530" cy="263207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8</w:t>
      </w:r>
      <w:r>
        <w:fldChar w:fldCharType="end"/>
      </w:r>
      <w:r>
        <w:rPr/>
        <w:t>.</w:t>
      </w:r>
      <w:r>
        <w:rPr>
          <w:b w:val="false"/>
        </w:rPr>
        <w:t xml:space="preserve"> Profil wysokości względnej w rejonie Śrubena Unia S.A. (źródło: Google Earth)</w:t>
      </w:r>
    </w:p>
    <w:p>
      <w:pPr>
        <w:pStyle w:val="Normal"/>
        <w:rPr/>
      </w:pPr>
      <w:r>
        <w:rPr/>
      </w:r>
    </w:p>
    <w:p>
      <w:pPr>
        <w:pStyle w:val="Normal"/>
        <w:rPr/>
      </w:pPr>
      <w:r>
        <w:rPr/>
        <w:t>Dużą część kotliny zajmują stożki napływowe i tarasy dopływów Soły, na tym obszarze lewostronnych, jak Żarnówka, Sienka, Leśnianka, tworzące stopnie tarasowe skalno-akumualcyjne, w niektórych dolinach rozdzielone krawędziami i podcięciami erozyjnymi. Osady rzeczne pokryte są miąższym płaszczem glin pyłowatych (10 m) podobnych do lessów – tzw. karpackiej odmiany lessów.</w:t>
      </w:r>
    </w:p>
    <w:p>
      <w:pPr>
        <w:pStyle w:val="Normal"/>
        <w:spacing w:lineRule="auto" w:line="360"/>
        <w:rPr/>
      </w:pPr>
      <w:r>
        <w:rPr/>
      </w:r>
    </w:p>
    <w:p>
      <w:pPr>
        <w:pStyle w:val="Normal"/>
        <w:ind w:hanging="0"/>
        <w:jc w:val="center"/>
        <w:rPr>
          <w:highlight w:val="white"/>
        </w:rPr>
      </w:pPr>
      <w:r>
        <w:rPr/>
        <w:drawing>
          <wp:inline distT="0" distB="0" distL="0" distR="0">
            <wp:extent cx="4222115" cy="3355340"/>
            <wp:effectExtent l="0" t="0" r="0" b="0"/>
            <wp:docPr id="15" name="Obraz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1" descr=""/>
                    <pic:cNvPicPr>
                      <a:picLocks noChangeAspect="1" noChangeArrowheads="1"/>
                    </pic:cNvPicPr>
                  </pic:nvPicPr>
                  <pic:blipFill>
                    <a:blip r:embed="rId22"/>
                    <a:stretch>
                      <a:fillRect/>
                    </a:stretch>
                  </pic:blipFill>
                  <pic:spPr bwMode="auto">
                    <a:xfrm>
                      <a:off x="0" y="0"/>
                      <a:ext cx="4222115" cy="335534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9</w:t>
      </w:r>
      <w:r>
        <w:fldChar w:fldCharType="end"/>
      </w:r>
      <w:r>
        <w:rPr/>
        <w:t>.</w:t>
      </w:r>
      <w:r>
        <w:rPr>
          <w:b w:val="false"/>
        </w:rPr>
        <w:t xml:space="preserve"> Hipsometria terenu w rejonie inwestycji (źródło: geoportal.pl)</w:t>
      </w:r>
    </w:p>
    <w:p>
      <w:pPr>
        <w:pStyle w:val="Normal"/>
        <w:jc w:val="left"/>
        <w:rPr>
          <w:shd w:fill="FFFFFF" w:val="clear"/>
        </w:rPr>
      </w:pPr>
      <w:r>
        <w:rPr>
          <w:shd w:fill="FFFFFF" w:val="clear"/>
        </w:rPr>
      </w:r>
    </w:p>
    <w:p>
      <w:pPr>
        <w:pStyle w:val="Nagwek2"/>
        <w:numPr>
          <w:ilvl w:val="1"/>
          <w:numId w:val="2"/>
        </w:numPr>
        <w:ind w:hanging="578"/>
        <w:rPr/>
      </w:pPr>
      <w:bookmarkStart w:id="38" w:name="_Toc518331301"/>
      <w:bookmarkEnd w:id="38"/>
      <w:r>
        <w:rPr/>
        <w:t>Budowa geologiczna</w:t>
      </w:r>
    </w:p>
    <w:p>
      <w:pPr>
        <w:pStyle w:val="Normal"/>
        <w:rPr>
          <w:highlight w:val="white"/>
        </w:rPr>
      </w:pPr>
      <w:r>
        <w:rPr>
          <w:shd w:fill="FFFFFF" w:val="clear"/>
        </w:rPr>
        <w:t>Na powierzchni podkenozoicznej występują skały prekambru i paleozoiczne (kambru dolnego, dewonu, karbonu). Wyższe piętro strukturalne stanowią Karpaty fliszowe wieku kredowego i paleogeńskiego, sfałdowane w czasie orogenezy alpejskiej w neogenie. Utwory starsze przykryte są molasowymi utworami neogeńskimi.</w:t>
      </w:r>
    </w:p>
    <w:p>
      <w:pPr>
        <w:pStyle w:val="Normal"/>
        <w:rPr>
          <w:highlight w:val="white"/>
        </w:rPr>
      </w:pPr>
      <w:r>
        <w:rPr>
          <w:shd w:fill="FFFFFF" w:val="clear"/>
        </w:rPr>
        <w:t>W obrębie Kotliny Żywieckiej (rysunek 10) występują:</w:t>
      </w:r>
    </w:p>
    <w:p>
      <w:pPr>
        <w:pStyle w:val="Normal"/>
        <w:numPr>
          <w:ilvl w:val="0"/>
          <w:numId w:val="34"/>
        </w:numPr>
        <w:rPr/>
      </w:pPr>
      <w:r>
        <w:rPr>
          <w:shd w:fill="FFFFFF" w:val="clear"/>
        </w:rPr>
        <w:t xml:space="preserve">osady </w:t>
      </w:r>
      <w:r>
        <w:rPr/>
        <w:t>kredy i paleogenu jednostki podśląskiej w postaci utworów łupkowo-marglistych z niewielką ilością cienkoławicowych piaskowców. Jednostka odpowiada obszarowi Żywca po zachodniej stronie Soły.</w:t>
      </w:r>
    </w:p>
    <w:p>
      <w:pPr>
        <w:pStyle w:val="Normal"/>
        <w:numPr>
          <w:ilvl w:val="0"/>
          <w:numId w:val="34"/>
        </w:numPr>
        <w:rPr/>
      </w:pPr>
      <w:r>
        <w:rPr/>
        <w:t xml:space="preserve">osady paleogenu (paleocen-oligocen) jednostki dukielskiej w postaci łupków pstrych, piaskowców, łupków marglistych, w stropowej części z egzotykami skał magmowych, metamorficznych i osadowych. Jednostka odpowiada generalnie północno-wschodniej części Żywca, na wschód od Soły i północny-wschód od rzeki Koszarawy. </w:t>
      </w:r>
    </w:p>
    <w:p>
      <w:pPr>
        <w:pStyle w:val="Normal"/>
        <w:numPr>
          <w:ilvl w:val="0"/>
          <w:numId w:val="34"/>
        </w:numPr>
        <w:rPr/>
      </w:pPr>
      <w:r>
        <w:rPr/>
        <w:t>osady kredy d. i paleogenu (oligocen) jednostki grybowskiej to głównie utwory ilasto-margliste, na powierzchni występują  utwory dolno kredowe, górno kredowe margle pstre i szare, górnokredowo-paleoceńskie warstwy biotytowo-skaleniowe, paleoceńsko-eoceńskie łupki pstre, eoceńskie margle i oligoceńskie warstwy piaskowców i łupków. Obszar występowania serii grybowskiej obejmuje teren projektowanej inwestycji wraz z południową i południowo-zachodnią częścią Żywca.</w:t>
      </w:r>
    </w:p>
    <w:p>
      <w:pPr>
        <w:pStyle w:val="Normal"/>
        <w:spacing w:lineRule="auto" w:line="360"/>
        <w:rPr>
          <w:rStyle w:val="Strong"/>
          <w:b w:val="false"/>
          <w:b w:val="false"/>
          <w:bCs w:val="false"/>
        </w:rPr>
      </w:pPr>
      <w:r>
        <w:rPr>
          <w:rStyle w:val="Strong"/>
          <w:b w:val="false"/>
          <w:bCs w:val="false"/>
        </w:rPr>
        <w:t xml:space="preserve">  </w:t>
      </w:r>
    </w:p>
    <w:p>
      <w:pPr>
        <w:pStyle w:val="Normal"/>
        <w:ind w:hanging="0"/>
        <w:jc w:val="center"/>
        <w:rPr>
          <w:szCs w:val="24"/>
        </w:rPr>
      </w:pPr>
      <w:r>
        <w:rPr/>
        <w:drawing>
          <wp:inline distT="0" distB="0" distL="0" distR="0">
            <wp:extent cx="4834255" cy="5355590"/>
            <wp:effectExtent l="0" t="0" r="0" b="0"/>
            <wp:docPr id="16" name="Obraz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2" descr=""/>
                    <pic:cNvPicPr>
                      <a:picLocks noChangeAspect="1" noChangeArrowheads="1"/>
                    </pic:cNvPicPr>
                  </pic:nvPicPr>
                  <pic:blipFill>
                    <a:blip r:embed="rId23"/>
                    <a:stretch>
                      <a:fillRect/>
                    </a:stretch>
                  </pic:blipFill>
                  <pic:spPr bwMode="auto">
                    <a:xfrm>
                      <a:off x="0" y="0"/>
                      <a:ext cx="4834255" cy="535559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10</w:t>
      </w:r>
      <w:r>
        <w:fldChar w:fldCharType="end"/>
      </w:r>
      <w:r>
        <w:rPr/>
        <w:t>.</w:t>
      </w:r>
      <w:r>
        <w:rPr>
          <w:b w:val="false"/>
        </w:rPr>
        <w:t xml:space="preserve"> Szkic geologiczny polskiej części Karpat Zachodnich między Cieszynem a Suchą Beskidzką (źródło: Przegląd Geol.vol.44 nr 5,1996)</w:t>
      </w:r>
    </w:p>
    <w:p>
      <w:pPr>
        <w:pStyle w:val="Normal"/>
        <w:rPr>
          <w:highlight w:val="white"/>
        </w:rPr>
      </w:pPr>
      <w:r>
        <w:rPr/>
        <w:t>Utwory okna tektonicznego Żywca są bardzo silnie sfałdowane i złuskowane, a występowanie miąższej pokrywy osadów czwartorzędowych na tym obszarze nie pozwala na ich dokładną analizę tektoniczną.</w:t>
      </w:r>
    </w:p>
    <w:p>
      <w:pPr>
        <w:pStyle w:val="Normal"/>
        <w:rPr>
          <w:highlight w:val="white"/>
        </w:rPr>
      </w:pPr>
      <w:r>
        <w:rPr>
          <w:shd w:fill="FFFFFF" w:val="clear"/>
        </w:rPr>
        <w:t>Najwyższą pozycję zajmuje pokrywa utworów czwartorzędowych. W</w:t>
      </w:r>
      <w:r>
        <w:rPr/>
        <w:t>ystępują na stokach gór i pogórzy, jak też w obrębie zboczy dolin. Generalnie są one utworzone z glin pylasto-gruzowych, powstałych głównie w efekcie wietrzenia skał podłoża w warunkach peryglacjalnych i ich przemieszczeń grawitacyjnych (głównie soliflukcji) na stokach, a także akumulacji w pasie pogórzy.</w:t>
      </w:r>
      <w:r>
        <w:rPr>
          <w:shd w:fill="FFFFFF" w:val="clear"/>
        </w:rPr>
        <w:t xml:space="preserve"> </w:t>
      </w:r>
    </w:p>
    <w:p>
      <w:pPr>
        <w:pStyle w:val="Normal"/>
        <w:rPr/>
      </w:pPr>
      <w:r>
        <w:rPr/>
        <w:t xml:space="preserve">Zgodnie ze szczegółową mapą geologiczną (rysunek 11) teren inwestycji jest przekształcony antropogenicznie zaś powierzchniowe utwory w tym rejonie budują plejstoceńskie mułki lessopodobne (wydzielenie 10). Od południa i wschodu znaczny obszar zajmują osady fluwialne w postaci plejstoceńskich żwirów, głazów, piasków, mułków i glin rzecznych tarasu nadzalewowego 6,0-11,0 m n. p. rzeki (wydzielenie 13). Utwory te odcinają się wyraźnym podcięciem erozyjnym od tarasów niższych w dolinie Soły. Tarasy doliny Soły i jej dopływów tworzą złożony system stopni skalno-akumulacyjnych i akumulacyjnych. Dna lewobrzeżnych wciosowych dolin dopływów Soły budują holoceńskie gliny, iły, mułki, żwiry i piaski (wydzielenie 2). </w:t>
      </w:r>
    </w:p>
    <w:p>
      <w:pPr>
        <w:pStyle w:val="Normal"/>
        <w:rPr/>
      </w:pPr>
      <w:r>
        <w:rPr/>
        <w:t xml:space="preserve">W samym rejonie planowanego przedsięwzięcia szczegółowa mapa geologiczna wskazuje na występowanie form antropogenicznych w postaci wysypisk odpadów komunalnych. Ukształtowanie powierzchni oraz analiza mapy topograficznej potwierdza sąsiedztwo starego wysypiska od strony zachodniej. </w:t>
      </w:r>
    </w:p>
    <w:p>
      <w:pPr>
        <w:pStyle w:val="Normal"/>
        <w:spacing w:lineRule="auto" w:line="360"/>
        <w:rPr/>
      </w:pPr>
      <w:r>
        <w:rPr/>
      </w:r>
    </w:p>
    <w:p>
      <w:pPr>
        <w:pStyle w:val="Normal"/>
        <w:ind w:hanging="0"/>
        <w:jc w:val="center"/>
        <w:rPr/>
      </w:pPr>
      <w:r>
        <w:rPr/>
        <w:drawing>
          <wp:inline distT="19050" distB="5715" distL="19050" distR="0">
            <wp:extent cx="5033010" cy="3995420"/>
            <wp:effectExtent l="0" t="0" r="0" b="0"/>
            <wp:docPr id="17" name="Obraz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2" descr=""/>
                    <pic:cNvPicPr>
                      <a:picLocks noChangeAspect="1" noChangeArrowheads="1"/>
                    </pic:cNvPicPr>
                  </pic:nvPicPr>
                  <pic:blipFill>
                    <a:blip r:embed="rId24"/>
                    <a:stretch>
                      <a:fillRect/>
                    </a:stretch>
                  </pic:blipFill>
                  <pic:spPr bwMode="auto">
                    <a:xfrm>
                      <a:off x="0" y="0"/>
                      <a:ext cx="5033010" cy="399542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11</w:t>
      </w:r>
      <w:r>
        <w:fldChar w:fldCharType="end"/>
      </w:r>
      <w:r>
        <w:rPr/>
        <w:t>.</w:t>
      </w:r>
      <w:r>
        <w:rPr>
          <w:b w:val="false"/>
        </w:rPr>
        <w:t xml:space="preserve"> Powierzchniowe utwory geologiczne (źródło: na podstawie szczegółowej mapy geologicznej 1:50 000 arkusz Bielsko-Biała [M-34-75-C] CBDG PIG-PIB)</w:t>
      </w:r>
    </w:p>
    <w:p>
      <w:pPr>
        <w:pStyle w:val="Normal"/>
        <w:rPr/>
      </w:pPr>
      <w:r>
        <w:rPr/>
      </w:r>
    </w:p>
    <w:p>
      <w:pPr>
        <w:pStyle w:val="Normal"/>
        <w:rPr/>
      </w:pPr>
      <w:r>
        <w:rPr/>
        <w:t>W podłożu znacznej części dzielnicy Zabłocie, w tym terenu inwestycji, występują utwory iłowe pylaste. Jest to teren zabudowany (Tz). Taras nadzalewowy od strony południowej i wschodniej budują gliny pylaste do głębokości 100 cm, na glebie szkieletowej (50-75% szkieletu). W kierunku zachodnim występują gliny ciężkie pylaste przykryte warstwą około 50 cm glin średnich i lekkich pylastych.</w:t>
      </w:r>
    </w:p>
    <w:p>
      <w:pPr>
        <w:pStyle w:val="Normal"/>
        <w:spacing w:lineRule="auto" w:line="360"/>
        <w:rPr/>
      </w:pPr>
      <w:r>
        <w:rPr/>
      </w:r>
    </w:p>
    <w:p>
      <w:pPr>
        <w:pStyle w:val="Normal"/>
        <w:ind w:hanging="0"/>
        <w:jc w:val="center"/>
        <w:rPr/>
      </w:pPr>
      <w:r>
        <w:rPr/>
        <w:drawing>
          <wp:inline distT="0" distB="0" distL="0" distR="0">
            <wp:extent cx="4842510" cy="2783205"/>
            <wp:effectExtent l="0" t="0" r="0" b="0"/>
            <wp:docPr id="18" name="Obraz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3" descr=""/>
                    <pic:cNvPicPr>
                      <a:picLocks noChangeAspect="1" noChangeArrowheads="1"/>
                    </pic:cNvPicPr>
                  </pic:nvPicPr>
                  <pic:blipFill>
                    <a:blip r:embed="rId25"/>
                    <a:stretch>
                      <a:fillRect/>
                    </a:stretch>
                  </pic:blipFill>
                  <pic:spPr bwMode="auto">
                    <a:xfrm>
                      <a:off x="0" y="0"/>
                      <a:ext cx="4842510" cy="278320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12</w:t>
      </w:r>
      <w:r>
        <w:fldChar w:fldCharType="end"/>
      </w:r>
      <w:r>
        <w:rPr/>
        <w:t>.</w:t>
      </w:r>
      <w:r>
        <w:rPr>
          <w:b w:val="false"/>
        </w:rPr>
        <w:t xml:space="preserve"> Użytkowanie terenu i gleby rejonu inwestycji (źródło: opracowanie własne na podstawie mapy glebowej powiatu żywieckiego)</w:t>
      </w:r>
    </w:p>
    <w:p>
      <w:pPr>
        <w:pStyle w:val="Normal"/>
        <w:rPr/>
      </w:pPr>
      <w:r>
        <w:rPr/>
      </w:r>
    </w:p>
    <w:p>
      <w:pPr>
        <w:pStyle w:val="Normal"/>
        <w:rPr/>
      </w:pPr>
      <w:r>
        <w:rPr/>
        <w:t xml:space="preserve">Około 170 m na wschód od terenu inwestycji wykonano otwór wiertniczy hydrogeologiczny do głębokości 18 m p.p.t. w ramach Dokumentacji hydrogeologicznej ujęcia wody podziemnej z utworów czwartorzędowych w kat. B dla Żywieckiej Fabryki Sprzętu Szpitalnego (stwierdzono występowanie utworów czwartorzędowych, nie określono litologii).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8</w:t>
      </w:r>
      <w:r>
        <w:fldChar w:fldCharType="end"/>
      </w:r>
      <w:r>
        <w:rPr/>
        <w:t>.</w:t>
      </w:r>
      <w:r>
        <w:rPr>
          <w:b w:val="false"/>
        </w:rPr>
        <w:t xml:space="preserve"> Otwory wiertnicze hydrogeologiczne w dzielnicy Zabłocie w Żywcu (źródło: baza Otwory wiertnicze CBDG PIG-PIB)</w:t>
      </w:r>
    </w:p>
    <w:tbl>
      <w:tblPr>
        <w:tblW w:w="5000" w:type="pct"/>
        <w:jc w:val="left"/>
        <w:tblInd w:w="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0" w:type="dxa"/>
          <w:left w:w="65" w:type="dxa"/>
          <w:bottom w:w="0" w:type="dxa"/>
          <w:right w:w="70" w:type="dxa"/>
        </w:tblCellMar>
        <w:tblLook w:firstRow="1" w:noVBand="1" w:lastRow="0" w:firstColumn="1" w:lastColumn="0" w:noHBand="0" w:val="04a0"/>
      </w:tblPr>
      <w:tblGrid>
        <w:gridCol w:w="828"/>
        <w:gridCol w:w="1467"/>
        <w:gridCol w:w="1139"/>
        <w:gridCol w:w="1401"/>
        <w:gridCol w:w="2268"/>
        <w:gridCol w:w="1229"/>
        <w:gridCol w:w="1021"/>
      </w:tblGrid>
      <w:tr>
        <w:trPr>
          <w:trHeight w:val="300" w:hRule="atLeast"/>
        </w:trPr>
        <w:tc>
          <w:tcPr>
            <w:tcW w:w="82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D9D9D9" w:val="clear"/>
            <w:tcMar>
              <w:left w:w="65"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Nr CBDG</w:t>
            </w:r>
          </w:p>
        </w:tc>
        <w:tc>
          <w:tcPr>
            <w:tcW w:w="1467" w:type="dxa"/>
            <w:tcBorders>
              <w:top w:val="single" w:sz="4" w:space="0" w:color="000001"/>
              <w:bottom w:val="single" w:sz="4" w:space="0" w:color="000001"/>
              <w:right w:val="single" w:sz="4" w:space="0" w:color="000001"/>
              <w:insideH w:val="single" w:sz="4" w:space="0" w:color="000001"/>
              <w:insideV w:val="single" w:sz="4"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Nazwa</w:t>
            </w:r>
          </w:p>
        </w:tc>
        <w:tc>
          <w:tcPr>
            <w:tcW w:w="1139" w:type="dxa"/>
            <w:tcBorders>
              <w:top w:val="single" w:sz="4" w:space="0" w:color="000001"/>
              <w:bottom w:val="single" w:sz="4" w:space="0" w:color="000001"/>
              <w:right w:val="single" w:sz="4" w:space="0" w:color="000001"/>
              <w:insideH w:val="single" w:sz="4" w:space="0" w:color="000001"/>
              <w:insideV w:val="single" w:sz="4"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Głębokość</w:t>
            </w:r>
          </w:p>
        </w:tc>
        <w:tc>
          <w:tcPr>
            <w:tcW w:w="1401" w:type="dxa"/>
            <w:tcBorders>
              <w:top w:val="single" w:sz="4" w:space="0" w:color="000001"/>
              <w:bottom w:val="single" w:sz="4" w:space="0" w:color="000001"/>
              <w:right w:val="single" w:sz="4" w:space="0" w:color="000001"/>
              <w:insideH w:val="single" w:sz="4" w:space="0" w:color="000001"/>
              <w:insideV w:val="single" w:sz="4"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Wysokość [m] n.p.m.</w:t>
            </w:r>
          </w:p>
        </w:tc>
        <w:tc>
          <w:tcPr>
            <w:tcW w:w="2268" w:type="dxa"/>
            <w:tcBorders>
              <w:top w:val="single" w:sz="4" w:space="0" w:color="000001"/>
              <w:bottom w:val="single" w:sz="4" w:space="0" w:color="000001"/>
              <w:right w:val="single" w:sz="4" w:space="0" w:color="000001"/>
              <w:insideH w:val="single" w:sz="4" w:space="0" w:color="000001"/>
              <w:insideV w:val="single" w:sz="4"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Cel wiercenia</w:t>
            </w:r>
          </w:p>
        </w:tc>
        <w:tc>
          <w:tcPr>
            <w:tcW w:w="1229" w:type="dxa"/>
            <w:tcBorders>
              <w:top w:val="single" w:sz="4" w:space="0" w:color="000001"/>
              <w:bottom w:val="single" w:sz="4" w:space="0" w:color="000001"/>
              <w:right w:val="single" w:sz="4" w:space="0" w:color="000001"/>
              <w:insideH w:val="single" w:sz="4" w:space="0" w:color="000001"/>
              <w:insideV w:val="single" w:sz="4"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Stratygrafia na dnie</w:t>
            </w:r>
          </w:p>
        </w:tc>
        <w:tc>
          <w:tcPr>
            <w:tcW w:w="1021" w:type="dxa"/>
            <w:tcBorders>
              <w:top w:val="single" w:sz="4" w:space="0" w:color="000001"/>
              <w:bottom w:val="single" w:sz="4" w:space="0" w:color="000001"/>
              <w:right w:val="single" w:sz="4" w:space="0" w:color="000001"/>
              <w:insideH w:val="single" w:sz="4" w:space="0" w:color="000001"/>
              <w:insideV w:val="single" w:sz="4"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Rok wiercenia</w:t>
            </w:r>
          </w:p>
        </w:tc>
      </w:tr>
      <w:tr>
        <w:trPr>
          <w:trHeight w:val="60" w:hRule="atLeast"/>
        </w:trPr>
        <w:tc>
          <w:tcPr>
            <w:tcW w:w="828" w:type="dxa"/>
            <w:tcBorders>
              <w:left w:val="single" w:sz="4" w:space="0" w:color="000001"/>
              <w:bottom w:val="single" w:sz="4" w:space="0" w:color="000001"/>
              <w:right w:val="single" w:sz="4" w:space="0" w:color="000001"/>
              <w:insideH w:val="single" w:sz="4" w:space="0" w:color="000001"/>
              <w:insideV w:val="single" w:sz="4" w:space="0" w:color="000001"/>
            </w:tcBorders>
            <w:shd w:color="auto" w:fill="auto" w:val="clear"/>
            <w:tcMar>
              <w:left w:w="65"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3173765</w:t>
            </w:r>
          </w:p>
        </w:tc>
        <w:tc>
          <w:tcPr>
            <w:tcW w:w="1467" w:type="dxa"/>
            <w:tcBorders>
              <w:bottom w:val="single" w:sz="4" w:space="0" w:color="000001"/>
              <w:right w:val="single" w:sz="4" w:space="0" w:color="000001"/>
              <w:insideH w:val="single" w:sz="4" w:space="0" w:color="000001"/>
              <w:insideV w:val="single" w:sz="4" w:space="0" w:color="000001"/>
            </w:tcBorders>
            <w:shd w:color="auto" w:fill="auto" w:val="clear"/>
            <w:vAlign w:val="bottom"/>
          </w:tcPr>
          <w:p>
            <w:pPr>
              <w:pStyle w:val="Normal"/>
              <w:spacing w:before="40" w:after="40"/>
              <w:ind w:hanging="0"/>
              <w:jc w:val="center"/>
              <w:rPr>
                <w:rFonts w:ascii="Arial" w:hAnsi="Arial" w:cs="Arial"/>
                <w:sz w:val="18"/>
                <w:szCs w:val="18"/>
              </w:rPr>
            </w:pPr>
            <w:r>
              <w:rPr>
                <w:rFonts w:cs="Arial" w:ascii="Arial" w:hAnsi="Arial"/>
                <w:sz w:val="18"/>
                <w:szCs w:val="18"/>
              </w:rPr>
              <w:t>ŻYWIEC 1</w:t>
            </w:r>
          </w:p>
        </w:tc>
        <w:tc>
          <w:tcPr>
            <w:tcW w:w="1139" w:type="dxa"/>
            <w:tcBorders>
              <w:bottom w:val="single" w:sz="4" w:space="0" w:color="000001"/>
              <w:right w:val="single" w:sz="4" w:space="0" w:color="000001"/>
              <w:insideH w:val="single" w:sz="4" w:space="0" w:color="000001"/>
              <w:insideV w:val="single" w:sz="4" w:space="0" w:color="000001"/>
            </w:tcBorders>
            <w:shd w:color="auto" w:fill="auto" w:val="clear"/>
            <w:vAlign w:val="bottom"/>
          </w:tcPr>
          <w:p>
            <w:pPr>
              <w:pStyle w:val="Normal"/>
              <w:spacing w:before="40" w:after="40"/>
              <w:ind w:hanging="0"/>
              <w:jc w:val="center"/>
              <w:rPr>
                <w:rFonts w:ascii="Arial" w:hAnsi="Arial" w:cs="Arial"/>
                <w:sz w:val="18"/>
                <w:szCs w:val="18"/>
              </w:rPr>
            </w:pPr>
            <w:r>
              <w:rPr>
                <w:rFonts w:cs="Arial" w:ascii="Arial" w:hAnsi="Arial"/>
                <w:sz w:val="18"/>
                <w:szCs w:val="18"/>
              </w:rPr>
              <w:t>18,0</w:t>
            </w:r>
          </w:p>
        </w:tc>
        <w:tc>
          <w:tcPr>
            <w:tcW w:w="1401" w:type="dxa"/>
            <w:tcBorders>
              <w:bottom w:val="single" w:sz="4" w:space="0" w:color="000001"/>
              <w:right w:val="single" w:sz="4" w:space="0" w:color="000001"/>
              <w:insideH w:val="single" w:sz="4" w:space="0" w:color="000001"/>
              <w:insideV w:val="single" w:sz="4" w:space="0" w:color="000001"/>
            </w:tcBorders>
            <w:shd w:color="auto" w:fill="auto" w:val="clear"/>
            <w:vAlign w:val="bottom"/>
          </w:tcPr>
          <w:p>
            <w:pPr>
              <w:pStyle w:val="Normal"/>
              <w:spacing w:before="40" w:after="40"/>
              <w:ind w:hanging="0"/>
              <w:jc w:val="center"/>
              <w:rPr>
                <w:rFonts w:ascii="Arial" w:hAnsi="Arial" w:cs="Arial"/>
                <w:sz w:val="18"/>
                <w:szCs w:val="18"/>
              </w:rPr>
            </w:pPr>
            <w:r>
              <w:rPr>
                <w:rFonts w:cs="Arial" w:ascii="Arial" w:hAnsi="Arial"/>
                <w:sz w:val="18"/>
                <w:szCs w:val="18"/>
              </w:rPr>
              <w:t>360,29</w:t>
            </w:r>
          </w:p>
        </w:tc>
        <w:tc>
          <w:tcPr>
            <w:tcW w:w="2268" w:type="dxa"/>
            <w:tcBorders>
              <w:bottom w:val="single" w:sz="4" w:space="0" w:color="000001"/>
              <w:right w:val="single" w:sz="4" w:space="0" w:color="000001"/>
              <w:insideH w:val="single" w:sz="4" w:space="0" w:color="000001"/>
              <w:insideV w:val="single" w:sz="4" w:space="0" w:color="000001"/>
            </w:tcBorders>
            <w:shd w:color="auto" w:fill="auto" w:val="clear"/>
            <w:vAlign w:val="bottom"/>
          </w:tcPr>
          <w:p>
            <w:pPr>
              <w:pStyle w:val="Normal"/>
              <w:spacing w:before="40" w:after="40"/>
              <w:ind w:hanging="0"/>
              <w:jc w:val="center"/>
              <w:rPr>
                <w:rFonts w:ascii="Arial" w:hAnsi="Arial" w:cs="Arial"/>
                <w:sz w:val="18"/>
                <w:szCs w:val="18"/>
              </w:rPr>
            </w:pPr>
            <w:r>
              <w:rPr>
                <w:rFonts w:cs="Arial" w:ascii="Arial" w:hAnsi="Arial"/>
                <w:sz w:val="18"/>
                <w:szCs w:val="18"/>
              </w:rPr>
              <w:t>hydrogeologiczny</w:t>
            </w:r>
          </w:p>
        </w:tc>
        <w:tc>
          <w:tcPr>
            <w:tcW w:w="1229" w:type="dxa"/>
            <w:tcBorders>
              <w:bottom w:val="single" w:sz="4" w:space="0" w:color="000001"/>
              <w:right w:val="single" w:sz="4" w:space="0" w:color="000001"/>
              <w:insideH w:val="single" w:sz="4" w:space="0" w:color="000001"/>
              <w:insideV w:val="single" w:sz="4" w:space="0" w:color="000001"/>
            </w:tcBorders>
            <w:shd w:color="auto" w:fill="auto" w:val="clear"/>
            <w:vAlign w:val="bottom"/>
          </w:tcPr>
          <w:p>
            <w:pPr>
              <w:pStyle w:val="Normal"/>
              <w:spacing w:before="40" w:after="40"/>
              <w:ind w:hanging="0"/>
              <w:jc w:val="center"/>
              <w:rPr>
                <w:rFonts w:ascii="Arial" w:hAnsi="Arial" w:cs="Arial"/>
                <w:sz w:val="18"/>
                <w:szCs w:val="18"/>
              </w:rPr>
            </w:pPr>
            <w:r>
              <w:rPr>
                <w:rFonts w:cs="Arial" w:ascii="Arial" w:hAnsi="Arial"/>
                <w:sz w:val="18"/>
                <w:szCs w:val="18"/>
              </w:rPr>
              <w:t> </w:t>
            </w:r>
            <w:r>
              <w:rPr>
                <w:rFonts w:cs="Arial" w:ascii="Arial" w:hAnsi="Arial"/>
                <w:sz w:val="18"/>
                <w:szCs w:val="18"/>
              </w:rPr>
              <w:t>czwartorzęd</w:t>
            </w:r>
          </w:p>
        </w:tc>
        <w:tc>
          <w:tcPr>
            <w:tcW w:w="1021" w:type="dxa"/>
            <w:tcBorders>
              <w:bottom w:val="single" w:sz="4" w:space="0" w:color="000001"/>
              <w:right w:val="single" w:sz="4" w:space="0" w:color="000001"/>
              <w:insideH w:val="single" w:sz="4" w:space="0" w:color="000001"/>
              <w:insideV w:val="single" w:sz="4" w:space="0" w:color="000001"/>
            </w:tcBorders>
            <w:shd w:color="auto" w:fill="auto" w:val="clear"/>
            <w:vAlign w:val="bottom"/>
          </w:tcPr>
          <w:p>
            <w:pPr>
              <w:pStyle w:val="Normal"/>
              <w:spacing w:before="40" w:after="40"/>
              <w:ind w:hanging="0"/>
              <w:jc w:val="center"/>
              <w:rPr>
                <w:rFonts w:ascii="Arial" w:hAnsi="Arial" w:cs="Arial"/>
                <w:sz w:val="18"/>
                <w:szCs w:val="18"/>
              </w:rPr>
            </w:pPr>
            <w:r>
              <w:rPr>
                <w:rFonts w:cs="Arial" w:ascii="Arial" w:hAnsi="Arial"/>
                <w:sz w:val="18"/>
                <w:szCs w:val="18"/>
              </w:rPr>
              <w:t>1988</w:t>
            </w:r>
          </w:p>
        </w:tc>
      </w:tr>
    </w:tbl>
    <w:p>
      <w:pPr>
        <w:pStyle w:val="Normal"/>
        <w:rPr>
          <w:shd w:fill="FFFFFF" w:val="clear"/>
        </w:rPr>
      </w:pPr>
      <w:r>
        <w:rPr>
          <w:shd w:fill="FFFFFF" w:val="clear"/>
        </w:rPr>
      </w:r>
    </w:p>
    <w:p>
      <w:pPr>
        <w:pStyle w:val="Nagwek2"/>
        <w:numPr>
          <w:ilvl w:val="1"/>
          <w:numId w:val="2"/>
        </w:numPr>
        <w:ind w:hanging="578"/>
        <w:rPr>
          <w:bCs/>
        </w:rPr>
      </w:pPr>
      <w:bookmarkStart w:id="39" w:name="_Toc518331302"/>
      <w:r>
        <w:rPr/>
        <w:t>Warunki hydrogeologiczne</w:t>
      </w:r>
      <w:bookmarkEnd w:id="39"/>
      <w:r>
        <w:rPr/>
        <w:t xml:space="preserve">                                                                                                                    </w:t>
      </w:r>
    </w:p>
    <w:p>
      <w:pPr>
        <w:pStyle w:val="Normal"/>
        <w:rPr/>
      </w:pPr>
      <w:r>
        <w:rPr>
          <w:bCs/>
        </w:rPr>
        <w:t xml:space="preserve">Specyficzną cechą obszaru woj. śląskiego jest </w:t>
      </w:r>
      <w:r>
        <w:rPr/>
        <w:t xml:space="preserve">duże zróżnicowanie warunków hydrogeologicznych. Użytkowe wody podziemne występują w utworach: czwartorzędu, trzeciorzędu, kredy, jury, triasu, karbonu i dewonu oraz podrzędnie permu. Zróżnicowanie obszarów charakteryzujących się zasobami wodnymi i warunkami hydrogeologicznymi doprowadziło do wydzielenia ponad dwudziestu tzw. głównych zbiorników wód podziemnych (GZWP) (Kleczkowski, 1990b). </w:t>
      </w:r>
    </w:p>
    <w:p>
      <w:pPr>
        <w:pStyle w:val="Normal"/>
        <w:rPr>
          <w:highlight w:val="white"/>
        </w:rPr>
      </w:pPr>
      <w:r>
        <w:rPr/>
        <w:t>W szerokim otoczeniu Kotliny Żywieckiej wydzielono 3 fliszowe trzeciorzędowo-kredowe GZWP (Warstw Godula Beskid Śląski 348, Warstwa Magura Babia Góra 445 i Warstw Godula Beskid Mały 447) oraz bezpośrednio związany z doliną rzeki Soły czwartorzędowy GZWP nr 446.</w:t>
      </w:r>
      <w:r>
        <w:rPr>
          <w:shd w:fill="FFFFFF" w:val="clear"/>
        </w:rPr>
        <w:t xml:space="preserve"> Obszar objęty doliną Soły i jej dopływów w rejonie Żywca należy wg regionalizacji hydrogeologicznej do jednostki 2aQII. Jest to zbiornik czwartorzędowy „Dolina rzeki Soły” (na mapie nr 9 opisany jako GZWP 446), porowy, bez izolacji, o zasobach dyspozycyjnych od 100 do 200 m</w:t>
      </w:r>
      <w:r>
        <w:rPr>
          <w:shd w:fill="FFFFFF" w:val="clear"/>
          <w:vertAlign w:val="superscript"/>
        </w:rPr>
        <w:t>3</w:t>
      </w:r>
      <w:r>
        <w:rPr>
          <w:shd w:fill="FFFFFF" w:val="clear"/>
        </w:rPr>
        <w:t>/24h km</w:t>
      </w:r>
      <w:r>
        <w:rPr>
          <w:shd w:fill="FFFFFF" w:val="clear"/>
          <w:vertAlign w:val="superscript"/>
        </w:rPr>
        <w:t>2</w:t>
      </w:r>
      <w:r>
        <w:rPr>
          <w:shd w:fill="FFFFFF" w:val="clear"/>
        </w:rPr>
        <w:t>. Granica jego określa jednocześnie zasięg głównego użytkowego piętra wodonośnego.</w:t>
      </w:r>
    </w:p>
    <w:p>
      <w:pPr>
        <w:pStyle w:val="Normal"/>
        <w:spacing w:lineRule="auto" w:line="360"/>
        <w:rPr>
          <w:shd w:fill="FFFFFF" w:val="clear"/>
        </w:rPr>
      </w:pPr>
      <w:r>
        <w:rPr>
          <w:shd w:fill="FFFFFF" w:val="clear"/>
        </w:rPr>
      </w:r>
    </w:p>
    <w:p>
      <w:pPr>
        <w:pStyle w:val="Normal"/>
        <w:ind w:hanging="0"/>
        <w:jc w:val="center"/>
        <w:rPr>
          <w:highlight w:val="white"/>
        </w:rPr>
      </w:pPr>
      <w:r>
        <w:rPr/>
        <w:drawing>
          <wp:inline distT="19050" distB="0" distL="19050" distR="0">
            <wp:extent cx="4389755" cy="3436620"/>
            <wp:effectExtent l="0" t="0" r="0" b="0"/>
            <wp:docPr id="19" name="Obraz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14" descr=""/>
                    <pic:cNvPicPr>
                      <a:picLocks noChangeAspect="1" noChangeArrowheads="1"/>
                    </pic:cNvPicPr>
                  </pic:nvPicPr>
                  <pic:blipFill>
                    <a:blip r:embed="rId26"/>
                    <a:stretch>
                      <a:fillRect/>
                    </a:stretch>
                  </pic:blipFill>
                  <pic:spPr bwMode="auto">
                    <a:xfrm>
                      <a:off x="0" y="0"/>
                      <a:ext cx="4389755" cy="343662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13</w:t>
      </w:r>
      <w:r>
        <w:fldChar w:fldCharType="end"/>
      </w:r>
      <w:r>
        <w:rPr/>
        <w:t>.</w:t>
      </w:r>
      <w:r>
        <w:rPr>
          <w:b w:val="false"/>
        </w:rPr>
        <w:t xml:space="preserve"> Fragment mapy hydrogeologicznej Polski (arkusz Bielsko-Biała 1012)</w:t>
      </w:r>
    </w:p>
    <w:p>
      <w:pPr>
        <w:pStyle w:val="Normal"/>
        <w:rPr/>
      </w:pPr>
      <w:r>
        <w:rPr/>
      </w:r>
    </w:p>
    <w:p>
      <w:pPr>
        <w:pStyle w:val="Normal"/>
        <w:rPr>
          <w:highlight w:val="white"/>
        </w:rPr>
      </w:pPr>
      <w:r>
        <w:rPr/>
        <w:t>W wyniku zmiany kwalifikacji GZWP, wymienionym zbiornikom obniżono rangę do lokalnych zbiorników wód podziemnych (LZWP)</w:t>
      </w:r>
      <w:r>
        <w:rPr>
          <w:rStyle w:val="Zakotwiczenieprzypisudolnego"/>
        </w:rPr>
        <w:footnoteReference w:id="7"/>
      </w:r>
      <w:r>
        <w:rPr/>
        <w:t xml:space="preserve">. Są to </w:t>
      </w:r>
      <w:r>
        <w:rPr>
          <w:shd w:fill="FFFFFF" w:val="clear"/>
        </w:rPr>
        <w:t xml:space="preserve">struktury również zasobne w wodę, ale o mniejszych zasobach i możliwości eksploatacji, o znaczeniu lokalnym, nie spełniające wszystkich warunków określonych dla GZWP. Aktualne granice głównych i lokalnych zbiorników wodnych przedstawia rysunek 14. </w:t>
      </w:r>
    </w:p>
    <w:p>
      <w:pPr>
        <w:pStyle w:val="Normal"/>
        <w:rPr/>
      </w:pPr>
      <w:r>
        <w:rPr/>
        <w:t xml:space="preserve">Nowe Rozporządzenie Rady Ministrów z dnia 28 grudnia 2017 r. </w:t>
      </w:r>
      <w:r>
        <w:rPr>
          <w:i/>
        </w:rPr>
        <w:t>w sprawie sposobu ustalenia i ewidencjonowania przebiegu granic obszarów dorzeczy, regionów wodnych oraz zlewni</w:t>
      </w:r>
      <w:r>
        <w:rPr/>
        <w:t xml:space="preserve"> (Dz.U.2017.2505) realizuje zalecenia dyrektywy 2000/60/WE Parlamentu Europejskiego i Rady z dnia 23 października 2000 r. ustanawiającej ramy wspólnotowego działania w dziedzinie polityki wodnej (Dz. Urz. WE L 327 z 22.12.2000, str. 1, z późn. zm.; Dz. Urz. UE polskie wydanie specjalne, rozdz. 15, t. 5, str. 275), zgodnie z którymi w miejsce przyporządkowania zbiorników wód podziemnych do właściwych obszarów dorzeczy, obszarom dorzeczy przyporządkowano jednolite części wód podziemnych oraz wody przybrzeżne. Do wyznaczenia granic obszarów dorzeczy i regionów wodnych wykorzystano Mapę Podziału Hydrograficznego Polski.</w:t>
      </w:r>
    </w:p>
    <w:p>
      <w:pPr>
        <w:pStyle w:val="Normal"/>
        <w:spacing w:lineRule="auto" w:line="360"/>
        <w:rPr>
          <w:shd w:fill="FFFFFF" w:val="clear"/>
        </w:rPr>
      </w:pPr>
      <w:r>
        <w:rPr>
          <w:shd w:fill="FFFFFF" w:val="clear"/>
        </w:rPr>
      </w:r>
    </w:p>
    <w:p>
      <w:pPr>
        <w:pStyle w:val="Normal"/>
        <w:ind w:hanging="0"/>
        <w:jc w:val="center"/>
        <w:rPr>
          <w:i/>
          <w:i/>
          <w:highlight w:val="white"/>
        </w:rPr>
      </w:pPr>
      <w:r>
        <w:rPr/>
        <w:drawing>
          <wp:inline distT="19050" distB="0" distL="19050" distR="3175">
            <wp:extent cx="4321810" cy="3339465"/>
            <wp:effectExtent l="0" t="0" r="0" b="0"/>
            <wp:docPr id="20" name="Obraz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15" descr=""/>
                    <pic:cNvPicPr>
                      <a:picLocks noChangeAspect="1" noChangeArrowheads="1"/>
                    </pic:cNvPicPr>
                  </pic:nvPicPr>
                  <pic:blipFill>
                    <a:blip r:embed="rId27"/>
                    <a:stretch>
                      <a:fillRect/>
                    </a:stretch>
                  </pic:blipFill>
                  <pic:spPr bwMode="auto">
                    <a:xfrm>
                      <a:off x="0" y="0"/>
                      <a:ext cx="4321810" cy="333946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14</w:t>
      </w:r>
      <w:r>
        <w:fldChar w:fldCharType="end"/>
      </w:r>
      <w:r>
        <w:rPr/>
        <w:t>.</w:t>
      </w:r>
      <w:r>
        <w:rPr>
          <w:b w:val="false"/>
        </w:rPr>
        <w:t xml:space="preserve"> Główne Zbiorniki Wód Podziemnych 1: 800 000 </w:t>
        <w:br/>
        <w:t>(źródło: Państwowa Służba Hydrologiczna PIG-PIB 2016)</w:t>
      </w:r>
    </w:p>
    <w:p>
      <w:pPr>
        <w:pStyle w:val="Normal"/>
        <w:rPr>
          <w:rStyle w:val="Strong"/>
          <w:b w:val="false"/>
          <w:b w:val="false"/>
          <w:shd w:fill="FFFFFF" w:val="clear"/>
        </w:rPr>
      </w:pPr>
      <w:r>
        <w:rPr>
          <w:b w:val="false"/>
          <w:shd w:fill="FFFFFF" w:val="clear"/>
        </w:rPr>
      </w:r>
    </w:p>
    <w:p>
      <w:pPr>
        <w:pStyle w:val="Normal"/>
        <w:rPr/>
      </w:pPr>
      <w:r>
        <w:rPr/>
        <w:t>Czwartorzędowy zbiornik LZWP Dolina rzeki Soła tworzy wyraźną strukturę dolinną. Ze względu na skomplikowaną budowę geologiczną i duże zróżnicowanie warunków hydrogeologicznych, zbiornik ten podzielono na dwie części: południową o powierzchni 23,2 km</w:t>
      </w:r>
      <w:r>
        <w:rPr>
          <w:vertAlign w:val="superscript"/>
        </w:rPr>
        <w:t>2</w:t>
      </w:r>
      <w:r>
        <w:rPr/>
        <w:t xml:space="preserve"> i północną (w tym rejon Żywca) o powierzchni 21,2 km</w:t>
      </w:r>
      <w:r>
        <w:rPr>
          <w:vertAlign w:val="superscript"/>
        </w:rPr>
        <w:t>2</w:t>
      </w:r>
      <w:r>
        <w:rPr/>
        <w:t>. Całkowita powierzchnia zbiornika wynosi 44,4 km</w:t>
      </w:r>
      <w:r>
        <w:rPr>
          <w:vertAlign w:val="superscript"/>
        </w:rPr>
        <w:t>2</w:t>
      </w:r>
      <w:r>
        <w:rPr/>
        <w:t xml:space="preserve">. Z obszaru LZWP wyłączono zbiorniki wodne Tresna i Porąbka. </w:t>
      </w:r>
    </w:p>
    <w:p>
      <w:pPr>
        <w:pStyle w:val="Normal"/>
        <w:rPr/>
      </w:pPr>
      <w:r>
        <w:rPr/>
        <w:t>Na obszarze zbiornika wyróżniono dwa poziomy wodonośne: aluwialny poziom czwartorzędowy (obejmujący czwartorzędowe osady aluwialne fragmentów doliny Soły oraz jej dopływów) oraz poziom fliszowy (związany głównie z warstwami godulskimi jednostki śląskiej Karpat zewnętrznych), ogólnie połączone ze sobą więzią hydrauliczną. Zbiornikowy poziom wodonośny zbudowany jest z utworów aluwialnych, wypełniających fragmenty doliny Soły oraz ujściowe odcinki jej dopływów, w tym Koszarawy. Warstwa wodonośna jest zbudowana z otoczaków, żwirów i piasków o różnej granulacji, lokalnie z domieszką gliny, często wymieszanych ze sobą, o miąższości w przedziale od kilku do 20 m (maksymalną wartość osiąga w okolicach Żywca). W dolinach mniejszych cieków miąższość wodonośnych osadów czwartorzędu zwykle nie przekracza 5 m. Wielkość zasobów dyspozycyjnych poziomu zbiornikowego w granicach wyznaczonego LZWP Dolina rzeki Soła wynosi 38 507,0 m</w:t>
      </w:r>
      <w:r>
        <w:rPr>
          <w:vertAlign w:val="superscript"/>
        </w:rPr>
        <w:t>3</w:t>
      </w:r>
      <w:r>
        <w:rPr/>
        <w:t>/d przy module zasobowym 128,4 m</w:t>
      </w:r>
      <w:r>
        <w:rPr>
          <w:vertAlign w:val="superscript"/>
        </w:rPr>
        <w:t>3</w:t>
      </w:r>
      <w:r>
        <w:rPr/>
        <w:t>/24h × km</w:t>
      </w:r>
      <w:r>
        <w:rPr>
          <w:vertAlign w:val="superscript"/>
        </w:rPr>
        <w:t>2</w:t>
      </w:r>
      <w:r>
        <w:rPr/>
        <w:t xml:space="preserve"> (1,49 l/s × km</w:t>
      </w:r>
      <w:r>
        <w:rPr>
          <w:vertAlign w:val="superscript"/>
        </w:rPr>
        <w:t>2</w:t>
      </w:r>
      <w:r>
        <w:rPr/>
        <w:t xml:space="preserve"> ). Wartość ta stanowi 80% wielkości zasobów odnawialnych. Pobór wód podziemnych z poziomu zbiornikowego wynosi łącznie 1532,5 m</w:t>
      </w:r>
      <w:r>
        <w:rPr>
          <w:vertAlign w:val="superscript"/>
        </w:rPr>
        <w:t>3</w:t>
      </w:r>
      <w:r>
        <w:rPr/>
        <w:t xml:space="preserve"> /d, co stanowi około 4% wielkości zasobów dyspozycyjnych. Jakość wód podziemnych poziomu zbiornikowego zarówno w północnej, jak i w południowej części zbiornika charakteryzuje się dobrym stanem chemicznym, w przedziale klas jakości I–III. </w:t>
      </w:r>
    </w:p>
    <w:p>
      <w:pPr>
        <w:pStyle w:val="Normal"/>
        <w:rPr/>
      </w:pPr>
      <w:r>
        <w:rPr/>
        <w:t>Obszar LZWP Dolina rzeki Soła cechuje wysoki stopień podatności na antropopresję, czas pionowej migracji zanieczyszczeń nie przekracza 5 lat. Z tego względu zbiornik wód podziemnych Dolina rzeki Soła wymaga dodatkowych form ochrony. Projektowany obszar ochronny LZWP Dolina rzeki Soła obejmuje strefę powiększoną o część bezpośredniej zlewni powierzchniowej zbiornika. Powierzchnia projektowanego obszaru ochronnego LZWP Dolina rzeki Soła wyniosła 82,1 km</w:t>
      </w:r>
      <w:r>
        <w:rPr>
          <w:vertAlign w:val="superscript"/>
        </w:rPr>
        <w:t>2</w:t>
      </w:r>
      <w:r>
        <w:rPr/>
        <w:t xml:space="preserve"> (część północna – 30,7 km</w:t>
      </w:r>
      <w:r>
        <w:rPr>
          <w:vertAlign w:val="superscript"/>
        </w:rPr>
        <w:t>2</w:t>
      </w:r>
      <w:r>
        <w:rPr/>
        <w:t xml:space="preserve"> , część południowa – 51,4 km</w:t>
      </w:r>
      <w:r>
        <w:rPr>
          <w:vertAlign w:val="superscript"/>
        </w:rPr>
        <w:t>2</w:t>
      </w:r>
      <w:r>
        <w:rPr/>
        <w:t>). Dokumentacja hydrogeologiczna zbiornika została wykonana w 2015 r. Projektowane obszary ochronne zbiorników wód podziemnych są planowane do ustanowienia w trybie ustawy Prawo wodne, w zależności od zapisów planów gospodarowania wodami na obszarach dorzeczy. Dla ustanowionych obszarów ochronnych GZWP będą obowiązywać zakazy i ograniczenia określone w przepisach odrębnych.</w:t>
      </w:r>
    </w:p>
    <w:p>
      <w:pPr>
        <w:pStyle w:val="Normal"/>
        <w:spacing w:lineRule="auto" w:line="360"/>
        <w:rPr/>
      </w:pPr>
      <w:r>
        <w:rPr/>
      </w:r>
    </w:p>
    <w:p>
      <w:pPr>
        <w:pStyle w:val="Normal"/>
        <w:ind w:hanging="0"/>
        <w:jc w:val="center"/>
        <w:rPr/>
      </w:pPr>
      <w:r>
        <w:rPr/>
        <w:drawing>
          <wp:inline distT="19050" distB="5715" distL="19050" distR="2540">
            <wp:extent cx="5255895" cy="2394585"/>
            <wp:effectExtent l="0" t="0" r="0" b="0"/>
            <wp:docPr id="21" name="Obraz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14" descr=""/>
                    <pic:cNvPicPr>
                      <a:picLocks noChangeAspect="1" noChangeArrowheads="1"/>
                    </pic:cNvPicPr>
                  </pic:nvPicPr>
                  <pic:blipFill>
                    <a:blip r:embed="rId28"/>
                    <a:stretch>
                      <a:fillRect/>
                    </a:stretch>
                  </pic:blipFill>
                  <pic:spPr bwMode="auto">
                    <a:xfrm>
                      <a:off x="0" y="0"/>
                      <a:ext cx="5255895" cy="239458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15</w:t>
      </w:r>
      <w:r>
        <w:fldChar w:fldCharType="end"/>
      </w:r>
      <w:r>
        <w:rPr/>
        <w:t>.</w:t>
      </w:r>
      <w:r>
        <w:rPr>
          <w:b w:val="false"/>
        </w:rPr>
        <w:t xml:space="preserve"> Obszar ochrony i kształtowania zasobów wodnych południowej części województwa śląskiego (źródło: Plan Zagospodarowania Przestrzennego Województwa Śląskiego 2020+, opracowano na podstawie dokumentacji hydrogeologicznej poszczególnych zbiorników wód podziemnych oraz informacji z KZGW i RZGW)</w:t>
      </w:r>
    </w:p>
    <w:p>
      <w:pPr>
        <w:pStyle w:val="Normal"/>
        <w:rPr/>
      </w:pPr>
      <w:r>
        <w:rPr/>
      </w:r>
    </w:p>
    <w:p>
      <w:pPr>
        <w:pStyle w:val="Normal"/>
        <w:rPr/>
      </w:pPr>
      <w:r>
        <w:rPr/>
        <w:t xml:space="preserve">Granica  i  powierzchnia LZWP Dolina rzeki Soły została skorygowana, ograniczona w stosunku do d. GZWP Dolina rzeki Soła. </w:t>
      </w:r>
    </w:p>
    <w:p>
      <w:pPr>
        <w:pStyle w:val="Normal"/>
        <w:rPr/>
      </w:pPr>
      <w:r>
        <w:rPr/>
        <w:t>Projektowana inwestycja znajduje się poza obszarem LZWP Dolina rzeki Soły ale w jego obszarze ochronnym. Gleby iłowe pylaste w podłożu są utworami o małej przepuszczalności. Według mapy hydrogeologicznej na tym terenie i</w:t>
      </w:r>
      <w:r>
        <w:rPr>
          <w:shd w:fill="FFFFFF" w:val="clear"/>
        </w:rPr>
        <w:t>zolacja jest słaba ale brak ognisk zanieczyszczenia wód zbiornika co powoduje niski stopień zagrożenia. W obrębie dzielnicy Zabłocie znajdują się zakłady przemysłowe, magazyny, tereny zdegradowane przemysłem, oczyszczalnia ścieków (Zakłady Papiernicze SOLALI S.A. - zamknięte).</w:t>
      </w:r>
    </w:p>
    <w:p>
      <w:pPr>
        <w:pStyle w:val="Normal"/>
        <w:rPr/>
      </w:pPr>
      <w:r>
        <w:rPr/>
        <w:t xml:space="preserve">Pierwszy poziom wodonośny (PPW) na obszarze, na którym jest lokalizowana projektowana inwestycja występuje na głębokości 5-10 m. Zwierciadło swobodne układa się na wysokości ponad 360 m n.p.m. Lokalny kierunek przepływu wód podziemnych odbywa się zgodnie z ukształtowaniem terenu z SW na NE ku dolinie Soły, na północ od doliny rzeki Żarnówki – z NW na SE ku dolinie tej rzeki. Brak użytkowego piętra wodonośnego.    </w:t>
      </w:r>
    </w:p>
    <w:p>
      <w:pPr>
        <w:pStyle w:val="Normal"/>
        <w:rPr/>
      </w:pPr>
      <w:r>
        <w:rPr/>
        <w:t xml:space="preserve">Według </w:t>
      </w:r>
      <w:r>
        <w:rPr>
          <w:i/>
          <w:iCs/>
        </w:rPr>
        <w:t xml:space="preserve">Mapy obszarów zagrożonych podtopieniami w Polsce </w:t>
      </w:r>
      <w:r>
        <w:rPr/>
        <w:t>obszary o wysokim ryzyku podtopień są ograniczone do doliny rzeki Soły i przyujściowych odcinków jej dopływów.</w:t>
      </w:r>
      <w:r>
        <w:rPr>
          <w:sz w:val="23"/>
          <w:szCs w:val="23"/>
        </w:rPr>
        <w:t xml:space="preserve"> </w:t>
      </w:r>
      <w:r>
        <w:rPr/>
        <w:t>Podtopienia mogą być spowodowane wezbraniami wody w wyniku intensywnych opadów atmosferycznych bądź wiosennych roztopów. W zasięgu obszarów o wysokim ryzyku podtopień znajduje się zabudowa Żywca. Nie oznacza to, że ten rejon znajduje się w zasięgu wód powodziowych rzek Soły i Koszarawy, ale na skutek położenia w bezpośrednim sąsiedztwie tych rzek zachodzi korelacja pomiędzy stanem wód podziemnych i stanem wód powierzchniowych. Wysokie stany wody w rzekach wpływają na podniesienie się poziomu wód podziemnych w dolinie, gdzie warstwa wodonośna ma kontakt hydrauliczny z ciekami powierzchniowymi. Wyznaczony obszar powinno traktować się jako maksymalny możliwy zasięg wystąpienia zjawiska podtopień w rejonie doliny rzecznej.</w:t>
      </w:r>
    </w:p>
    <w:p>
      <w:pPr>
        <w:pStyle w:val="Normal"/>
        <w:ind w:hanging="0"/>
        <w:jc w:val="center"/>
        <w:rPr>
          <w:b/>
          <w:b/>
        </w:rPr>
      </w:pPr>
      <w:r>
        <w:rPr/>
        <w:drawing>
          <wp:inline distT="19050" distB="0" distL="19050" distR="0">
            <wp:extent cx="4898390" cy="3342640"/>
            <wp:effectExtent l="0" t="0" r="0" b="0"/>
            <wp:docPr id="22" name="Obraz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16" descr=""/>
                    <pic:cNvPicPr>
                      <a:picLocks noChangeAspect="1" noChangeArrowheads="1"/>
                    </pic:cNvPicPr>
                  </pic:nvPicPr>
                  <pic:blipFill>
                    <a:blip r:embed="rId29"/>
                    <a:stretch>
                      <a:fillRect/>
                    </a:stretch>
                  </pic:blipFill>
                  <pic:spPr bwMode="auto">
                    <a:xfrm>
                      <a:off x="0" y="0"/>
                      <a:ext cx="4898390" cy="334264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16</w:t>
      </w:r>
      <w:r>
        <w:fldChar w:fldCharType="end"/>
      </w:r>
      <w:r>
        <w:rPr/>
        <w:t>.</w:t>
      </w:r>
      <w:r>
        <w:rPr>
          <w:b w:val="false"/>
        </w:rPr>
        <w:t xml:space="preserve"> Lokalny zbiornik wód podziemnych nr 446 (e-PSH Baza danych </w:t>
        <w:br/>
        <w:t>o Głównych Zbiornikach Wód Podziemnych – GZWP PIG-PIB)</w:t>
      </w:r>
    </w:p>
    <w:p>
      <w:pPr>
        <w:pStyle w:val="Normal"/>
        <w:rPr/>
      </w:pPr>
      <w:r>
        <w:rPr/>
      </w:r>
    </w:p>
    <w:p>
      <w:pPr>
        <w:pStyle w:val="Normal"/>
        <w:rPr/>
      </w:pPr>
      <w:r>
        <w:rPr/>
        <w:t>W obszarach zagrożonych podtopieniami stopień podatności PPW może być znacznie wyższy ze względu na infiltrację wód powodziowych i/lub okresowe znaczne zmniejszenie głębokości do wód PPW związane z piętrzeniem przez wezbrane wody powierzchniowe. Teren inwestycji znajduje się poza zasięgiem obszaru zagrożonego podtopieniem.</w:t>
      </w:r>
    </w:p>
    <w:p>
      <w:pPr>
        <w:pStyle w:val="Normal"/>
        <w:spacing w:lineRule="auto" w:line="360"/>
        <w:jc w:val="left"/>
        <w:rPr/>
      </w:pPr>
      <w:r>
        <w:rPr/>
      </w:r>
    </w:p>
    <w:p>
      <w:pPr>
        <w:pStyle w:val="Normal"/>
        <w:ind w:hanging="0"/>
        <w:jc w:val="center"/>
        <w:rPr>
          <w:sz w:val="23"/>
          <w:szCs w:val="23"/>
        </w:rPr>
      </w:pPr>
      <w:r>
        <w:rPr/>
        <w:drawing>
          <wp:inline distT="19050" distB="1270" distL="19050" distR="0">
            <wp:extent cx="4936490" cy="3390265"/>
            <wp:effectExtent l="0" t="0" r="0" b="0"/>
            <wp:docPr id="23" name="Obraz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15" descr=""/>
                    <pic:cNvPicPr>
                      <a:picLocks noChangeAspect="1" noChangeArrowheads="1"/>
                    </pic:cNvPicPr>
                  </pic:nvPicPr>
                  <pic:blipFill>
                    <a:blip r:embed="rId30"/>
                    <a:stretch>
                      <a:fillRect/>
                    </a:stretch>
                  </pic:blipFill>
                  <pic:spPr bwMode="auto">
                    <a:xfrm>
                      <a:off x="0" y="0"/>
                      <a:ext cx="4936490" cy="339026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17</w:t>
      </w:r>
      <w:r>
        <w:fldChar w:fldCharType="end"/>
      </w:r>
      <w:r>
        <w:rPr/>
        <w:t>.</w:t>
      </w:r>
      <w:r>
        <w:rPr>
          <w:b w:val="false"/>
        </w:rPr>
        <w:t xml:space="preserve"> Obszary zagrożone podtopieniami (e-PSH Baza danych GIS </w:t>
        <w:br/>
        <w:t>Mapy obszarów zagrożonych podtopieniami PIG-PIB)</w:t>
      </w:r>
    </w:p>
    <w:p>
      <w:pPr>
        <w:pStyle w:val="Nagwek3"/>
        <w:numPr>
          <w:ilvl w:val="2"/>
          <w:numId w:val="2"/>
        </w:numPr>
        <w:ind w:hanging="851"/>
        <w:rPr/>
      </w:pPr>
      <w:bookmarkStart w:id="40" w:name="_Toc518331303"/>
      <w:bookmarkEnd w:id="40"/>
      <w:r>
        <w:rPr/>
        <w:t>Jakość wód podziemnych</w:t>
      </w:r>
    </w:p>
    <w:p>
      <w:pPr>
        <w:pStyle w:val="Normal"/>
        <w:shd w:val="clear" w:color="auto" w:fill="FFFFFF"/>
        <w:ind w:left="-45" w:firstLine="397"/>
        <w:rPr>
          <w:bCs/>
        </w:rPr>
      </w:pPr>
      <w:r>
        <w:rPr>
          <w:bCs/>
        </w:rPr>
        <w:t xml:space="preserve">W 2008 r. została przeprowadzona weryfikacja przebiegu granic JCWPd wydzielonych </w:t>
        <w:br/>
        <w:t>w 2005 r., a w wyniku tych prac powstał nowy podział Polski w zakresie JCWPd – wydzielono 172 części oraz 3 subczęści.</w:t>
      </w:r>
    </w:p>
    <w:p>
      <w:pPr>
        <w:pStyle w:val="Normal"/>
        <w:shd w:val="clear" w:color="auto" w:fill="FFFFFF"/>
        <w:ind w:left="-45" w:firstLine="397"/>
        <w:rPr>
          <w:bCs/>
        </w:rPr>
      </w:pPr>
      <w:r>
        <w:rPr>
          <w:bCs/>
        </w:rPr>
        <w:t>Rejon Kotliny Żywieckiej, a zatem rejon planowanego przedsięwzięcia, znajduje się w granicach Jednolitej Części Wód Podziemnych (JCWPd) nr 158 w regionie hydrogeologicznym karpackim (IV), w obrębie zlewni Soły i Skawy, w regionie wodnym Górnej Zachodniej Wisły</w:t>
      </w:r>
      <w:r>
        <w:rPr>
          <w:rStyle w:val="Zakotwiczenieprzypisudolnego"/>
          <w:bCs/>
        </w:rPr>
        <w:footnoteReference w:id="8"/>
      </w:r>
      <w:r>
        <w:rPr>
          <w:bCs/>
        </w:rPr>
        <w:t xml:space="preserve">. Charakterystyka pięter wodonośnych i parametry hydrogeologiczne warstwy wodonośnej występującej w tej jednostce zostały podane wcześniej. Generalnie jest to ośrodek porowy, cechuje się przepuszczalnością osadów. Wody podziemne zasilane są głównie poprzez bezpośrednią infiltrację opadów atmosferycznych, a także w niewielkim stopniu poprzez infiltrację wód powierzchniowych oraz dopływ z podłoża. Najdogodniejsze warunki infiltracji istnieją w obrębie dolin rzecznych, a rzeki i cieki powierzchniowe są naturalnymi strefami drenażu wewnątrz JCWPd. Przepływ wód podziemnych odbywa się w kierunku dolin rzecznych. </w:t>
      </w:r>
    </w:p>
    <w:p>
      <w:pPr>
        <w:pStyle w:val="Normal"/>
        <w:shd w:val="clear" w:color="auto" w:fill="FFFFFF"/>
        <w:ind w:left="-45" w:firstLine="397"/>
        <w:rPr>
          <w:bCs/>
        </w:rPr>
      </w:pPr>
      <w:r>
        <w:rPr>
          <w:bCs/>
        </w:rPr>
        <w:t>Jakość wód podziemnych JCWPd (ocenę stanu i ocenę spełniania celów środowiskowych</w:t>
      </w:r>
      <w:r>
        <w:rPr>
          <w:rStyle w:val="Zakotwiczenieprzypisudolnego"/>
          <w:bCs/>
        </w:rPr>
        <w:footnoteReference w:id="9"/>
      </w:r>
      <w:r>
        <w:rPr>
          <w:bCs/>
        </w:rPr>
        <w:t>) prowadzi się w ramach monitoringu wód podziemnych.  Monitoring wód podziemnych w sieci krajowej prowadzi Państwowy Instytut Geologiczny – Państwowy Instytut Badawczy na zlecenie Głównego Inspektora Ochrony Środowiska na podstawie  art. 53 ust. 1 ustawy z dnia 20 lipca 2017 r. – Prawo wodne (</w:t>
      </w:r>
      <w:r>
        <w:rPr/>
        <w:t>Dz.U.2017.1566</w:t>
      </w:r>
      <w:r>
        <w:rPr>
          <w:bCs/>
        </w:rPr>
        <w:t xml:space="preserve">) oraz Rozporządzenia Ministra Środowiska z dnia 21 grudnia 2015 r. </w:t>
      </w:r>
      <w:r>
        <w:rPr>
          <w:bCs/>
          <w:i/>
        </w:rPr>
        <w:t xml:space="preserve">w sprawie kryteriów i sposobu oceny stanu jednolitych części wód podziemnych </w:t>
      </w:r>
      <w:r>
        <w:rPr>
          <w:bCs/>
        </w:rPr>
        <w:t>(Dz.U.2016.85).</w:t>
      </w:r>
    </w:p>
    <w:p>
      <w:pPr>
        <w:pStyle w:val="Normal"/>
        <w:shd w:val="clear" w:color="auto" w:fill="FFFFFF"/>
        <w:ind w:left="-45" w:firstLine="397"/>
        <w:rPr/>
      </w:pPr>
      <w:r>
        <w:rPr>
          <w:bCs/>
        </w:rPr>
        <w:t xml:space="preserve"> </w:t>
      </w:r>
      <w:r>
        <w:rPr>
          <w:bCs/>
        </w:rPr>
        <w:t>Monitoring diagnostyczny</w:t>
      </w:r>
      <w:r>
        <w:rPr/>
        <w:t> </w:t>
      </w:r>
      <w:r>
        <w:rPr>
          <w:bCs/>
        </w:rPr>
        <w:t>jednolitych części wód podziemnych</w:t>
      </w:r>
      <w:r>
        <w:rPr/>
        <w:t> prowadzony jest w celu uzupełnienia i sprawdzenia procedury oceny wpływu oddziaływań wynikających z warunków naturalnych i oddziaływań antropogenicznych, a także oceny znaczących i utrzymujących się trendów wzrostu stężeń zanieczyszczeń wynikających z warunków naturalnych i oddziaływań antropogenicznych. Monitoring diagnostyczny  prowadzi się</w:t>
      </w:r>
      <w:r>
        <w:rPr>
          <w:color w:val="444444"/>
        </w:rPr>
        <w:t xml:space="preserve"> </w:t>
      </w:r>
      <w:r>
        <w:rPr/>
        <w:t>przynajmniej raz w ciągu 6-letniego cyklu aktualizacji planu gospodarowania wodami na obszarze dorzecza. Służy on ogólnej ocenie stanu jakości wód na terytorium kraju. Ostatni monitoring diagnostyczny wykonano w 2016 r.</w:t>
      </w:r>
    </w:p>
    <w:p>
      <w:pPr>
        <w:pStyle w:val="Normal"/>
        <w:shd w:val="clear" w:color="auto" w:fill="FFFFFF"/>
        <w:ind w:left="-45" w:firstLine="397"/>
        <w:rPr>
          <w:szCs w:val="24"/>
        </w:rPr>
      </w:pPr>
      <w:r>
        <w:rPr>
          <w:szCs w:val="24"/>
        </w:rPr>
        <w:t>Według „</w:t>
      </w:r>
      <w:r>
        <w:rPr>
          <w:i/>
          <w:szCs w:val="24"/>
        </w:rPr>
        <w:t>Raportu o stanie jednolitych części wód podziemnych w dorzeczach – stan na rok 2016</w:t>
      </w:r>
      <w:r>
        <w:rPr>
          <w:szCs w:val="24"/>
        </w:rPr>
        <w:t>” PIG-PIB, w ramach monitoringu diagnostycznego prowadzonego w 2016 r., w ocenie stanu chemicznego w dorzeczach, stwierdzono w dorzeczu Wisły, w JCWPd 158 (do 2015 r. nr 152), stan chemiczny dobry. Podobnie dobry był stan ilościowy i ogólna ocena stanu także była dobra.</w:t>
      </w:r>
    </w:p>
    <w:p>
      <w:pPr>
        <w:pStyle w:val="Normal"/>
        <w:shd w:val="clear" w:color="auto" w:fill="FFFFFF"/>
        <w:ind w:left="-45" w:firstLine="397"/>
        <w:rPr>
          <w:szCs w:val="24"/>
        </w:rPr>
      </w:pPr>
      <w:r>
        <w:rPr>
          <w:szCs w:val="24"/>
        </w:rPr>
        <w:t xml:space="preserve">JCWPd nr 158 w okresie gdy była objęta oceną stanu chemicznego i  ilościowego w monitoringu krajowym, nie była kwalifikowana do analizy JCWPd uznanych za zagrożone nieosiągnięciem celów środowiskowych. W 2016 r. stwierdzono w 1 ppk JCWPd nr 158 znaczące trendy rosnące dla wskaźników Mn, Fe, mogących być zarówno pochodzenia geogenicznego jak i antropogenicznego. Na obszarze JCWPd w 3 punktach monitoringu chemicznego zidentyfikowano trendy rosnące. W jednym punkcie monitoringu chemicznego wystąpiły trendy malejące. JCWPd nr 158 nie była w ostatnim cyklu wodnym uznana za zagrożoną nieosiągnięciem celów środowiskowych. </w:t>
      </w:r>
    </w:p>
    <w:p>
      <w:pPr>
        <w:pStyle w:val="Normal"/>
        <w:shd w:val="clear" w:color="auto" w:fill="FFFFFF"/>
        <w:ind w:left="-45" w:firstLine="397"/>
        <w:rPr/>
      </w:pPr>
      <w:r>
        <w:rPr>
          <w:bCs/>
        </w:rPr>
        <w:t xml:space="preserve"> </w:t>
      </w:r>
      <w:r>
        <w:rPr>
          <w:bCs/>
        </w:rPr>
        <w:t>Monitoring operacyjny jednolitych części wód podziemnych</w:t>
      </w:r>
      <w:r>
        <w:rPr/>
        <w:t xml:space="preserve"> prowadzony jest w celu oceny stanu chemicznego jednolitych części wód podziemnych uznanych za zagrożone niespełnieniem określonych dla nich celów środowiskowych, a także stwierdzenia występowania znaczących i utrzymujących się trendów wzrostu stężenia zanieczyszczeń spowodowanych oddziaływaniami antropogenicznymi. Zgodnie z zapisami rozporządzenia Ministra Środowiska z dnia 19 lipca 2016 r. </w:t>
      </w:r>
      <w:r>
        <w:rPr>
          <w:i/>
        </w:rPr>
        <w:t>w sprawie form i sposobu prowadzenia monitoringu jednolitych części wód powierzchniowych i podziemnych</w:t>
      </w:r>
      <w:r>
        <w:rPr/>
        <w:t xml:space="preserve"> (Dz.U.2016.1178) prowadzi się przynajmniej raz w roku, z wyłączeniem roku, w którym jest prowadzony monitoring diagnostyczny stanu chemicznego jednolitych części wód podziemnych. Monitoring operacyjny przeprowadzony został w 2013, 2014 i 2015 r. oraz w 2017 r. JCWPd nr 158 (d.152) nie była badana.</w:t>
      </w:r>
    </w:p>
    <w:p>
      <w:pPr>
        <w:pStyle w:val="Normal"/>
        <w:shd w:val="clear" w:color="auto" w:fill="FFFFFF"/>
        <w:spacing w:lineRule="auto" w:line="360"/>
        <w:ind w:left="-45" w:firstLine="397"/>
        <w:rPr>
          <w:szCs w:val="24"/>
        </w:rPr>
      </w:pPr>
      <w:r>
        <w:rPr>
          <w:szCs w:val="24"/>
        </w:rPr>
      </w:r>
    </w:p>
    <w:p>
      <w:pPr>
        <w:pStyle w:val="WWDomylnie"/>
        <w:spacing w:lineRule="auto" w:line="276" w:before="120" w:after="0"/>
        <w:jc w:val="center"/>
        <w:rPr>
          <w:color w:val="000000"/>
          <w:sz w:val="22"/>
          <w:szCs w:val="22"/>
        </w:rPr>
      </w:pPr>
      <w:r>
        <w:rPr/>
        <w:drawing>
          <wp:inline distT="19050" distB="0" distL="19050" distR="0">
            <wp:extent cx="4667250" cy="2560955"/>
            <wp:effectExtent l="0" t="0" r="0" b="0"/>
            <wp:docPr id="24" name="Obraz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17" descr=""/>
                    <pic:cNvPicPr>
                      <a:picLocks noChangeAspect="1" noChangeArrowheads="1"/>
                    </pic:cNvPicPr>
                  </pic:nvPicPr>
                  <pic:blipFill>
                    <a:blip r:embed="rId31"/>
                    <a:stretch>
                      <a:fillRect/>
                    </a:stretch>
                  </pic:blipFill>
                  <pic:spPr bwMode="auto">
                    <a:xfrm>
                      <a:off x="0" y="0"/>
                      <a:ext cx="4667250" cy="256095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18</w:t>
      </w:r>
      <w:r>
        <w:fldChar w:fldCharType="end"/>
      </w:r>
      <w:r>
        <w:rPr/>
        <w:t>.</w:t>
      </w:r>
      <w:r>
        <w:rPr>
          <w:b w:val="false"/>
        </w:rPr>
        <w:t xml:space="preserve"> Jakość wód podziemnych w 2016 r. badana w sieci krajowej w JCWPd nr 158 (źródło: WIOŚ Katowice – Raport Stan środowiska w województwie śląskim w 2016 roku)</w:t>
      </w:r>
    </w:p>
    <w:p>
      <w:pPr>
        <w:pStyle w:val="Normal"/>
        <w:shd w:val="clear" w:color="auto" w:fill="FFFFFF"/>
        <w:ind w:left="-45" w:firstLine="397"/>
        <w:rPr>
          <w:szCs w:val="24"/>
        </w:rPr>
      </w:pPr>
      <w:r>
        <w:rPr>
          <w:szCs w:val="24"/>
        </w:rPr>
      </w:r>
    </w:p>
    <w:p>
      <w:pPr>
        <w:pStyle w:val="Normal"/>
        <w:shd w:val="clear" w:color="auto" w:fill="FFFFFF"/>
        <w:ind w:left="-45" w:firstLine="397"/>
        <w:rPr>
          <w:szCs w:val="24"/>
        </w:rPr>
      </w:pPr>
      <w:r>
        <w:rPr>
          <w:szCs w:val="24"/>
        </w:rPr>
        <w:t>W latach 2010 i 2012 jednolita część wód podziemnych nr 152 miała stan chemiczny dobry nie była więc kwalifikowana do przeprowadzenia oceny stanu w następnych latach.</w:t>
      </w:r>
    </w:p>
    <w:p>
      <w:pPr>
        <w:pStyle w:val="Normal"/>
        <w:shd w:val="clear" w:color="auto" w:fill="FFFFFF"/>
        <w:ind w:left="-45" w:firstLine="397"/>
        <w:rPr>
          <w:szCs w:val="24"/>
        </w:rPr>
      </w:pPr>
      <w:r>
        <w:rPr>
          <w:szCs w:val="24"/>
        </w:rPr>
        <w:t xml:space="preserve">W  2016 r. badania wód podziemnych w sieci krajowej, w JCWPd nr 158 były prowadzone w ramach monitoringu diagnostycznego stanu chemicznego wód podziemnych w 4 punktach pomiarowych, ujmujących wody z  utworów kredy, paleogenu, neogenu i czwartorzędu. Ocena stanu chemicznego wód podziemnych w monitorowanych punktach pomiarowych była wykonana przez PIG – PIB zgodnie z  rozporządzeniem Ministra Środowiska i wykazała dobry stan chemiczny (klasa I – III). </w:t>
      </w:r>
      <w:r>
        <w:rPr>
          <w:szCs w:val="24"/>
          <w:shd w:fill="FFFFFF" w:val="clear"/>
        </w:rPr>
        <w:t>Monitoring diagnostyczny stanu chemicznego jednolitych części wód podziemnych prowadzi się przynajmniej raz w ciągu 6-letniego cyklu aktualizacji planu gospodarowania wodami na obszarze dorzecza. Służy on ogólnej ocenie stanu jakości wód na terytorium kraju. Ostatni monitoring diagnostyczny wykonano w 2016 r.</w:t>
      </w:r>
      <w:r>
        <w:rPr>
          <w:szCs w:val="24"/>
        </w:rPr>
        <w:t xml:space="preserve"> Na terenie Żywca w punkcie 114 (źródło Pod Łyską) woda ma klasę jakości I (ośrodek porowo- szczelinowy, PgPc). W centrum miasta (nr 1900) jest klasa III z powodu wskaźników fizyko-chemicznych – NO</w:t>
      </w:r>
      <w:r>
        <w:rPr>
          <w:szCs w:val="24"/>
          <w:vertAlign w:val="subscript"/>
        </w:rPr>
        <w:t>3</w:t>
      </w:r>
      <w:r>
        <w:rPr>
          <w:szCs w:val="24"/>
        </w:rPr>
        <w:t xml:space="preserve"> (w ośrodku porowym, Q). W stosunku do badań z 2012 r. nastąpiła poprawa w punkcie 114, z klasy II do klasy I, w p. 1900 woda była w klasie III.</w:t>
      </w:r>
    </w:p>
    <w:p>
      <w:pPr>
        <w:pStyle w:val="Normal"/>
        <w:shd w:val="clear" w:color="auto" w:fill="FFFFFF"/>
        <w:ind w:left="-45" w:firstLine="397"/>
        <w:rPr>
          <w:szCs w:val="24"/>
        </w:rPr>
      </w:pPr>
      <w:r>
        <w:rPr>
          <w:szCs w:val="24"/>
        </w:rPr>
      </w:r>
    </w:p>
    <w:p>
      <w:pPr>
        <w:pStyle w:val="Nagwek2"/>
        <w:numPr>
          <w:ilvl w:val="1"/>
          <w:numId w:val="2"/>
        </w:numPr>
        <w:ind w:hanging="578"/>
        <w:rPr/>
      </w:pPr>
      <w:bookmarkStart w:id="41" w:name="_Toc518331304"/>
      <w:bookmarkEnd w:id="41"/>
      <w:r>
        <w:rPr/>
        <w:t>Hydrografia</w:t>
      </w:r>
    </w:p>
    <w:p>
      <w:pPr>
        <w:pStyle w:val="Normal"/>
        <w:rPr/>
      </w:pPr>
      <w:r>
        <w:rPr/>
        <w:t xml:space="preserve">Według podziału hydrologicznego dorzecza Wisły (Rozporządzenie Rady Ministrów z dnia 18 października 2016 r. </w:t>
      </w:r>
      <w:r>
        <w:rPr>
          <w:i/>
        </w:rPr>
        <w:t>w sprawie Planu gospodarowania wodami na obszarze dorzecza Wisły</w:t>
      </w:r>
      <w:r>
        <w:rPr/>
        <w:t xml:space="preserve"> Dz.U.2016.1911) obszar kotliny Żywieckiej w całości znajduje się w obrębie regionu wodnego Górnej Wisły, w zlewni rzeki Soły</w:t>
      </w:r>
      <w:bookmarkStart w:id="42" w:name="_Toc459811492"/>
      <w:r>
        <w:rPr/>
        <w:t>.</w:t>
      </w:r>
    </w:p>
    <w:p>
      <w:pPr>
        <w:pStyle w:val="Normal"/>
        <w:rPr/>
      </w:pPr>
      <w:r>
        <w:rPr/>
      </w:r>
    </w:p>
    <w:p>
      <w:pPr>
        <w:pStyle w:val="Nagwek3"/>
        <w:numPr>
          <w:ilvl w:val="2"/>
          <w:numId w:val="2"/>
        </w:numPr>
        <w:ind w:hanging="851"/>
        <w:rPr/>
      </w:pPr>
      <w:bookmarkStart w:id="43" w:name="_Toc518331305"/>
      <w:bookmarkEnd w:id="42"/>
      <w:bookmarkEnd w:id="43"/>
      <w:r>
        <w:rPr/>
        <w:t>Zlewnia Soły</w:t>
      </w:r>
    </w:p>
    <w:p>
      <w:pPr>
        <w:pStyle w:val="Normal"/>
        <w:rPr/>
      </w:pPr>
      <w:r>
        <w:rPr/>
        <w:t>Rzeka Soła jest prawobrzeżnym dopływem Wisły o powierzchni zlewni</w:t>
      </w:r>
      <w:r>
        <w:rPr>
          <w:rStyle w:val="Zakotwiczenieprzypisudolnego"/>
        </w:rPr>
        <w:footnoteReference w:id="10"/>
      </w:r>
      <w:r>
        <w:rPr/>
        <w:t xml:space="preserve"> 1 360,93 km</w:t>
      </w:r>
      <w:r>
        <w:rPr>
          <w:vertAlign w:val="superscript"/>
        </w:rPr>
        <w:t>2</w:t>
      </w:r>
      <w:r>
        <w:rPr/>
        <w:t>. Wypływa z Beskidu Żywieckiego, przepływa m.in. przez mezoregion Kotliny Żywieckiej. Znajduje się w regionie wodnym Małej i Górnej-Zachodniej Wisły, w dorzeczu Wisły. W ciekach obszaru źródłowego Soły  spadki są duże, co świadczy o ich górskim charakterze. Do przekroju wodowskazowego IMGW w Cięcinie zlokalizowany w korycie Soły na wysokości 383,11 m n.p.m. również obszar zlewni Soły ma górski charakter.</w:t>
      </w:r>
    </w:p>
    <w:p>
      <w:pPr>
        <w:pStyle w:val="Normal"/>
        <w:rPr/>
      </w:pPr>
      <w:r>
        <w:rPr/>
        <w:t>Soła płynie w kierunku północno-wschodnim, przepływa przez Kotlinę Żywiecką, następnie przecina się przełomem przez Beskid Mały wprost na północ. Na Sole w Żywcu zlokalizowany jest kolejny przekrój wodowskazowy zamykający zlewnię o powierzchni 782,82 km</w:t>
      </w:r>
      <w:r>
        <w:rPr>
          <w:vertAlign w:val="superscript"/>
        </w:rPr>
        <w:t>2</w:t>
      </w:r>
      <w:r>
        <w:rPr/>
        <w:t>. Zero wodowskazu Żywiec umiejscowione jest na wysokości 341,99 m n.p.m., co przy odległości około 8,6 km od Cięciny pozwala oszacować średni spadek Soły na tym odcinku na około 0,48%. Przepływy w Sole, w obrębie Kotliny Żywieckiej są kształtowane przez trzy główne jej dopływy: lewostronne Juszczynkę i Leśniankę oraz znaczną Koszarawę. Zlewnia Soły do ujścia Koszarawy wynosi 520,56 km</w:t>
      </w:r>
      <w:r>
        <w:rPr>
          <w:vertAlign w:val="superscript"/>
        </w:rPr>
        <w:t>2</w:t>
      </w:r>
      <w:r>
        <w:rPr/>
        <w:t>, natomiast Koszarawa wprowadza wody ze zlewni 256,30 km</w:t>
      </w:r>
      <w:r>
        <w:rPr>
          <w:vertAlign w:val="superscript"/>
        </w:rPr>
        <w:t>2</w:t>
      </w:r>
      <w:r>
        <w:rPr/>
        <w:t xml:space="preserve">, co jest gwałtownym przyrostem o niemal 50%. Koszarawa, biorąca początek na wysokościach otaczających najwyższy szczyt tego regionu Pilsko (1 557 m n.p.m.) zbiera wody potoków: z lewej Krzyżówki, Sopotni i Trzebinki oraz z prawej Pewli Wielkiej i Pewlicy. Szczególnie Krzyżowka charakteryzuje się dużymi spadkami. Zdecydowanie górzysty charakter mają też pozostałe dopływy. </w:t>
      </w:r>
    </w:p>
    <w:p>
      <w:pPr>
        <w:pStyle w:val="Normal"/>
        <w:rPr/>
      </w:pPr>
      <w:r>
        <w:rPr/>
        <w:t>Na początku przełomowej doliny Beskidu Małego wybudowano zaporę w Tresnej, która spiętrza wody w zbiorniku o powierzchni 10,6 km</w:t>
      </w:r>
      <w:r>
        <w:rPr>
          <w:vertAlign w:val="superscript"/>
        </w:rPr>
        <w:t>2</w:t>
      </w:r>
      <w:r>
        <w:rPr/>
        <w:t>. Zbiornik ten jest nazywany Jeziorem Żywieckim. Uchodzą tu z lewej strony Żylica, a z prawej Łękawka.</w:t>
      </w:r>
    </w:p>
    <w:p>
      <w:pPr>
        <w:pStyle w:val="Normal"/>
        <w:rPr/>
      </w:pPr>
      <w:r>
        <w:rPr/>
        <w:t xml:space="preserve">Zlewnia Soły zgodnie z rozporządzeniem Rady Ministrów z dnia 18 października 2016 r. </w:t>
      </w:r>
      <w:r>
        <w:rPr>
          <w:i/>
        </w:rPr>
        <w:t>w sprawie Planu gospodarowania wodami na obszarze dorzecza Wisły</w:t>
      </w:r>
      <w:r>
        <w:rPr/>
        <w:t xml:space="preserve"> Dz.U.2016.1911) jest podzielona na szereg zlewni jednolitych części wód powierzchniowych (JCWP), z których  jedna znajduje się w rejonie projektowanej inwestycji. Jest to lewobrzeżna część zlewni JCWP „Soła od Wody Ujsolskiej do Zbiornika Tresna” obejmująca obszar zlewni rzeki Sienki. Od północy graniczy ze zlewnią JCWP Kaskada Soły, od południa z JCWP Leśnianka w typie potok fliszowy (12).</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9</w:t>
      </w:r>
      <w:r>
        <w:fldChar w:fldCharType="end"/>
      </w:r>
      <w:r>
        <w:rPr/>
        <w:t>.</w:t>
      </w:r>
      <w:r>
        <w:rPr>
          <w:b w:val="false"/>
        </w:rPr>
        <w:t xml:space="preserve"> Typologia JCWP w rejonie projektowanej inwestycji</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2410"/>
        <w:gridCol w:w="4820"/>
        <w:gridCol w:w="2126"/>
      </w:tblGrid>
      <w:tr>
        <w:trPr/>
        <w:tc>
          <w:tcPr>
            <w:tcW w:w="24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sz w:val="18"/>
                <w:szCs w:val="18"/>
              </w:rPr>
            </w:pPr>
            <w:r>
              <w:rPr>
                <w:rFonts w:cs="Arial" w:ascii="Arial" w:hAnsi="Arial"/>
                <w:b/>
                <w:sz w:val="18"/>
                <w:szCs w:val="18"/>
              </w:rPr>
              <w:t>Kod JCWP</w:t>
            </w:r>
          </w:p>
        </w:tc>
        <w:tc>
          <w:tcPr>
            <w:tcW w:w="48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sz w:val="18"/>
                <w:szCs w:val="18"/>
              </w:rPr>
            </w:pPr>
            <w:r>
              <w:rPr>
                <w:rFonts w:cs="Arial" w:ascii="Arial" w:hAnsi="Arial"/>
                <w:b/>
                <w:sz w:val="18"/>
                <w:szCs w:val="18"/>
              </w:rPr>
              <w:t>Nazwa JCWP</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sz w:val="18"/>
                <w:szCs w:val="18"/>
              </w:rPr>
            </w:pPr>
            <w:r>
              <w:rPr>
                <w:rFonts w:cs="Arial" w:ascii="Arial" w:hAnsi="Arial"/>
                <w:b/>
                <w:sz w:val="18"/>
                <w:szCs w:val="18"/>
              </w:rPr>
              <w:t>Typologia JCWP</w:t>
            </w:r>
          </w:p>
        </w:tc>
      </w:tr>
      <w:tr>
        <w:trPr/>
        <w:tc>
          <w:tcPr>
            <w:tcW w:w="24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t>PLRW200014213259</w:t>
            </w:r>
          </w:p>
        </w:tc>
        <w:tc>
          <w:tcPr>
            <w:tcW w:w="48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t>Soła od Wody Ujsolskiej do Zbiornika Tresna</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Tekst"/>
              <w:spacing w:lineRule="auto" w:line="240" w:before="40" w:after="40"/>
              <w:jc w:val="center"/>
              <w:rPr>
                <w:rFonts w:ascii="Arial" w:hAnsi="Arial" w:cs="Arial"/>
                <w:sz w:val="18"/>
                <w:szCs w:val="18"/>
              </w:rPr>
            </w:pPr>
            <w:r>
              <w:rPr>
                <w:rFonts w:cs="Arial" w:ascii="Arial" w:hAnsi="Arial"/>
                <w:sz w:val="18"/>
                <w:szCs w:val="18"/>
              </w:rPr>
              <w:t>14</w:t>
            </w:r>
          </w:p>
        </w:tc>
      </w:tr>
    </w:tbl>
    <w:p>
      <w:pPr>
        <w:pStyle w:val="Normal"/>
        <w:spacing w:before="60" w:after="0"/>
        <w:ind w:hanging="0"/>
        <w:rPr>
          <w:rFonts w:ascii="Arial" w:hAnsi="Arial" w:cs="Arial"/>
          <w:i/>
          <w:i/>
        </w:rPr>
      </w:pPr>
      <w:r>
        <w:rPr>
          <w:rFonts w:cs="Arial" w:ascii="Arial" w:hAnsi="Arial"/>
          <w:i/>
          <w:sz w:val="16"/>
        </w:rPr>
        <w:t>14 –średnia rzeka wyżynna</w:t>
      </w:r>
    </w:p>
    <w:p>
      <w:pPr>
        <w:pStyle w:val="Normal"/>
        <w:spacing w:lineRule="auto" w:line="360"/>
        <w:rPr/>
      </w:pPr>
      <w:r>
        <w:rPr/>
      </w:r>
    </w:p>
    <w:p>
      <w:pPr>
        <w:pStyle w:val="Normal"/>
        <w:rPr/>
      </w:pPr>
      <w:r>
        <w:rPr/>
        <w:t xml:space="preserve">Kotlina Żywiecka jest terenem gwałtownych powodzi i akumulacji rzecznej, co wiąże się z dużymi spadkami rzek spływających z gór oraz roztokowym charakterem zlewni. Obszary narażone na wystąpienie powodzi stanowią obszary narażone na trwałe lub czasowe zalanie wodami powodziowymi w dolinach rzecznych, wodami z spływu powierzchniowego lub wodami z systemów kanalizacyjnych i melioracyjnych. </w:t>
      </w:r>
    </w:p>
    <w:p>
      <w:pPr>
        <w:pStyle w:val="Normal"/>
        <w:rPr/>
      </w:pPr>
      <w:r>
        <w:rPr/>
        <w:t>W południowej (wyżynnej, górskiej i podgórskiej) części województwa największy odpływ występuje w czasie wiosennych roztopów; odpływ ten jest rozłożony w czasie, stąd największe wezbrania i powodzie występują w tym regionie w lipcu i sierpniu (miesiące o najwyższych sumach opadów w przebiegu rocznym). Wezbrania i powodzie największe rozmiary osiągają na obszarach dolin rzek, w tym doliny Soły  i jej dopływu – Koszarawy. W ujściowym odcinku doliny Koszarawy występuje zagrożenie powodziowe z wodą raz na 10 lat (Q</w:t>
      </w:r>
      <w:r>
        <w:rPr>
          <w:vertAlign w:val="subscript"/>
        </w:rPr>
        <w:t>10%</w:t>
      </w:r>
      <w:r>
        <w:rPr/>
        <w:t>).</w:t>
      </w:r>
    </w:p>
    <w:p>
      <w:pPr>
        <w:pStyle w:val="Normal"/>
        <w:ind w:hanging="0"/>
        <w:jc w:val="center"/>
        <w:rPr/>
      </w:pPr>
      <w:r>
        <w:rPr/>
        <w:drawing>
          <wp:inline distT="19050" distB="0" distL="19050" distR="0">
            <wp:extent cx="5127625" cy="2959735"/>
            <wp:effectExtent l="0" t="0" r="0" b="0"/>
            <wp:docPr id="25" name="Obraz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16" descr=""/>
                    <pic:cNvPicPr>
                      <a:picLocks noChangeAspect="1" noChangeArrowheads="1"/>
                    </pic:cNvPicPr>
                  </pic:nvPicPr>
                  <pic:blipFill>
                    <a:blip r:embed="rId32"/>
                    <a:stretch>
                      <a:fillRect/>
                    </a:stretch>
                  </pic:blipFill>
                  <pic:spPr bwMode="auto">
                    <a:xfrm>
                      <a:off x="0" y="0"/>
                      <a:ext cx="5127625" cy="295973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19</w:t>
      </w:r>
      <w:r>
        <w:fldChar w:fldCharType="end"/>
      </w:r>
      <w:r>
        <w:rPr/>
        <w:t xml:space="preserve">. </w:t>
      </w:r>
      <w:r>
        <w:rPr>
          <w:b w:val="false"/>
        </w:rPr>
        <w:t>Podział regionu wodnego Górnej Wisły na jednolite części wód powierzchniowych – rejon Żywca (źródło: Plan gospodarowania wodami na obszarze dorzecza Wisły)</w:t>
      </w:r>
    </w:p>
    <w:p>
      <w:pPr>
        <w:pStyle w:val="Normal"/>
        <w:rPr/>
      </w:pPr>
      <w:r>
        <w:rPr/>
      </w:r>
    </w:p>
    <w:p>
      <w:pPr>
        <w:pStyle w:val="Normal"/>
        <w:rPr/>
      </w:pPr>
      <w:r>
        <w:rPr/>
        <w:t xml:space="preserve">Problematyka zagrożenia powodziowego w znacznej części dotyczy sfery planowania przestrzennego i użytkowania terenu w skali regionalnej i lokalnej. Jest to związane z problemem braku retencji wód opadowych w obszarach poddanych silnej urbanizacji i suburbanizacji. Nie można pominąć problemu ograniczenia spływu powierzchniowego z terenu zlewni, które są systematycznie i coraz bardziej dynamicznie zabudowywane. Zwłaszcza czułe są zlewnie górskie, ponieważ ich powierzchnia jest stosunkowo mała, a w związku z tym reakcja na gwałtowny opad atmosferyczny jest natychmiastowa (znaczne zwiększenie przepływów i formowanie się fali powodziowej). Odpływ wody w warunkach górskich ma często gwałtowny przebieg, cechują go szybkie reagowanie na zasilanie opadowe i roztopowe, krótkotrwałe, ale wysokie przepływy kulminacyjne i fale o dużych objętościach. Fale roztopowo-opadowe na terenach górskich są groźne w skutkach, ponieważ wezbrania wczesnowiosenne zachodzą jednocześnie na znacznych obszarach gór powodując również zagrożenia powodziowe w dolinach dużych rzek. </w:t>
      </w:r>
    </w:p>
    <w:p>
      <w:pPr>
        <w:pStyle w:val="Normal"/>
        <w:rPr/>
      </w:pPr>
      <w:r>
        <w:rPr/>
        <w:t xml:space="preserve">Stały rozwój gospodarczy i urbanizacja niosą za sobą zagrożenia dla ekosystemów wodnych i powiązanych ekosystemów lądowych, powodując przy tym wzrost zagrożenia powodziowego, z uwagi na: </w:t>
      </w:r>
    </w:p>
    <w:p>
      <w:pPr>
        <w:pStyle w:val="Normal"/>
        <w:numPr>
          <w:ilvl w:val="0"/>
          <w:numId w:val="34"/>
        </w:numPr>
        <w:rPr/>
      </w:pPr>
      <w:r>
        <w:rPr/>
        <w:t>niekorzystne zmiany struktury odpływu wód (malejący odpływ gruntowy na rzecz wzrostu odpływu powierzchniowego),</w:t>
      </w:r>
    </w:p>
    <w:p>
      <w:pPr>
        <w:pStyle w:val="Normal"/>
        <w:numPr>
          <w:ilvl w:val="0"/>
          <w:numId w:val="34"/>
        </w:numPr>
        <w:rPr/>
      </w:pPr>
      <w:r>
        <w:rPr/>
        <w:t>wymuszoną alokację przestrzenną stosunków wodnych (spowodowaną zmianą struktury odpływu, jak i koniecznością zaspokajania potrzeb wodnych), przy jednoczesnym braku restrykcyjnych ograniczeń w zakresie dopuszczalnego poziomu i przestrzennego zasięgu tej alokacji,</w:t>
      </w:r>
    </w:p>
    <w:p>
      <w:pPr>
        <w:pStyle w:val="Normal"/>
        <w:numPr>
          <w:ilvl w:val="0"/>
          <w:numId w:val="34"/>
        </w:numPr>
        <w:rPr/>
      </w:pPr>
      <w:r>
        <w:rPr/>
        <w:t xml:space="preserve">zmniejszanie obszaru naturalnego odpływu na skutek stałego powiększania zainwestowania w tereny przybrzeżne i w inne na obszarach zlewni (źródłem problemu jest brak koordynacji użytkowania terenu w obrębie zlewni z warunkami przyrodniczymi). </w:t>
      </w:r>
    </w:p>
    <w:p>
      <w:pPr>
        <w:pStyle w:val="Normal"/>
        <w:rPr/>
      </w:pPr>
      <w:r>
        <w:rPr/>
        <w:t xml:space="preserve"> </w:t>
      </w:r>
      <w:r>
        <w:rPr/>
        <w:t>Poza często stosowanymi rozwiązaniami hydrotechnicznymi, należy tu podkreślić znaczenie takich działań, jak renaturyzacja dolin rzecznych i obszarów podmokłych, odpowiednie kształtowanie systemów melioracji, w tym również melioracji wodnych podstawowych i szczegółowych, prowadzenie zalesień i realizowanie innych metod zwiększania retencyjności zlewni. Bardzo ważną rolę w formowaniu i przebiegu powodzi pełnią lasy, jako istotny czynnik kształtujący obieg wody w przyrodzie (łagodzenie fal wezbraniowych, opóźnianie roztopów, itp.).</w:t>
      </w:r>
    </w:p>
    <w:p>
      <w:pPr>
        <w:pStyle w:val="Normal"/>
        <w:rPr/>
      </w:pPr>
      <w:r>
        <w:rPr/>
      </w:r>
    </w:p>
    <w:p>
      <w:pPr>
        <w:pStyle w:val="Nagwek3"/>
        <w:numPr>
          <w:ilvl w:val="2"/>
          <w:numId w:val="2"/>
        </w:numPr>
        <w:ind w:hanging="851"/>
        <w:rPr/>
      </w:pPr>
      <w:bookmarkStart w:id="44" w:name="_Toc518331306"/>
      <w:r>
        <w:rPr/>
        <w:t>Status, zagrożenie, formy ochrony przyrody, cele środowiskowe JCWP</w:t>
      </w:r>
      <w:bookmarkEnd w:id="44"/>
      <w:r>
        <w:rPr/>
        <w:t xml:space="preserve"> </w:t>
      </w:r>
    </w:p>
    <w:p>
      <w:pPr>
        <w:pStyle w:val="Normal"/>
        <w:rPr/>
      </w:pPr>
      <w:r>
        <w:rPr/>
        <w:t>Rozporządzenie Rady Ministrów z dnia 18 października 2016 r</w:t>
      </w:r>
      <w:r>
        <w:rPr>
          <w:i/>
        </w:rPr>
        <w:t xml:space="preserve">. w sprawie Planu gospodarowania wodami na obszarze dorzecza Wisły </w:t>
      </w:r>
      <w:r>
        <w:rPr/>
        <w:t>(Dz.U.2016.1911) określa wymagania jakie są stawiane z tytułu utrzymania lub osiągnięcia właściwego stanu wód powierzchniowych i podziemnych, ich ochrony i osiągania określonych celów środowiskowych.</w:t>
      </w:r>
    </w:p>
    <w:p>
      <w:pPr>
        <w:pStyle w:val="Normal"/>
        <w:rPr/>
      </w:pPr>
      <w:r>
        <w:rPr/>
        <w:t>Do głównych rodzajów zmian hydromorfologicznych JCWP rzecznych należą: zabudowa podłużna cieków polegająca głównie na zmianie profilu poprzecznego i podłużnego cieków, obwałowania, zabudowa poprzeczna, obejmująca wszelkie budowle przegradzające koryto, sztuczne zbiorniki wodne,  melioracje. Zgodnie z Planem gospodarowania wodami</w:t>
      </w:r>
      <w:r>
        <w:rPr>
          <w:rFonts w:cs="TimesNewRomanPSMT" w:ascii="TimesNewRomanPSMT" w:hAnsi="TimesNewRomanPSMT"/>
        </w:rPr>
        <w:t xml:space="preserve"> </w:t>
      </w:r>
      <w:r>
        <w:rPr/>
        <w:t xml:space="preserve">na obszarze dorzecza Wisły status wymienionych JCWP w rejonie Żywca jest różny. Na status hydromorfologiczny wpływają wskaźniki obrazujące skalę wpływu zmian antropogenicznych na hydromorfologię cieku. </w:t>
      </w:r>
    </w:p>
    <w:p>
      <w:pPr>
        <w:pStyle w:val="Normal"/>
        <w:rPr/>
      </w:pPr>
      <w:r>
        <w:rPr/>
        <w:t xml:space="preserve">Na podstawie obliczonych wskaźników dokonano ostatecznej kwalifikacji jednolitej część wód rzeki Soły (PLRW200014213259 „Soła od Wody Ujsolskiej do Zbiornika Tresna”) jako naturalnej. Nie ma zmian hydromorfologicznych uzasadniających jej wyznaczenie jako SZCW. SZCW oznacza JCWP, której charakter został znacznie zmieniony na skutek fizycznego oddziaływania człowieka. </w:t>
      </w:r>
    </w:p>
    <w:p>
      <w:pPr>
        <w:pStyle w:val="Normal"/>
        <w:rPr>
          <w:sz w:val="20"/>
        </w:rPr>
      </w:pPr>
      <w:r>
        <w:rPr/>
        <w:t>JCWP „Soła od Wody Ujsolskiej do Zbiornika Tresna” jest zagrożona nieosiągnięciem celów środowiskowych. Znacząca presja spowodowana niską emisją została wskazana na podstawie danych monitoringowych, w wyniku których stwierdzono przekroczenia w zakresie substancji priorytetowych: benzo(g,h,i)perylenu oraz indeno(1,2,3-cd)pirenu. Obecność związków z grupy WWA w wodach związana jest z depozycją atmosferyczną zanieczyszczeń pochodzących z niskiej emisji, a ich najbardziej prawdopodobnym źródłem są procesy spalania w sektorze komunalnym (na przykład ogrzewanie mieszkań przy użyciu niewłaściwej jakości paliwa lub odpadów). Wymagania wyznaczone w Planie gospodarowania wodami w dorzeczu Wisły dla JCWP „Soła od Wody Ujsolskiej do Zbiornika Tresna” odnoszą się do realizacji działań wynikających z konieczności porządkowania systemu gospodarki ściekowej oraz KPOŚK. Działania uzupełniające obejmują opracowanie warunków korzystania z wód zlewni.</w:t>
      </w:r>
    </w:p>
    <w:p>
      <w:pPr>
        <w:pStyle w:val="Normal"/>
        <w:rPr/>
      </w:pPr>
      <w:r>
        <w:rPr/>
        <w:t xml:space="preserve">Tereny JCWP są objęte różnorodnymi formami ochrony według ustawy o ochronie przyrody. Spośród tych obszarów wyróżnia się należące do sieci Natura 2000: OSO i OZW utworzone na mocy rozporządzenia OSO, rozporządzenia Ministra Środowiska z dnia 13 kwietnia 2010 r. </w:t>
      </w:r>
      <w:r>
        <w:rPr>
          <w:i/>
        </w:rPr>
        <w:t>w sprawie siedlisk przyrodniczych oraz gatunków</w:t>
      </w:r>
      <w:r>
        <w:rPr/>
        <w:t xml:space="preserve"> </w:t>
      </w:r>
      <w:r>
        <w:rPr>
          <w:i/>
        </w:rPr>
        <w:t xml:space="preserve">a także kryteriów wyboru obszarów kwalifikujących się do uznania lub wyznaczenia jako obszary Natura 2000 </w:t>
      </w:r>
      <w:r>
        <w:rPr/>
        <w:t xml:space="preserve">(Dz.U.2014.1713), zmienionego rozporządzeniem Ministra Środowiska z dnia 6 listopada 2013 r. </w:t>
      </w:r>
      <w:r>
        <w:rPr>
          <w:i/>
        </w:rPr>
        <w:t>zmieniającym rozporządzenie w sprawie siedlisk przyrodniczych oraz gatunków będących przedmiotem zainteresowania Wspólnoty, a także kryteriów wyboru obszarów kwalifikujących się do uznania lub wyznaczenia jako obszary Natura 2000</w:t>
      </w:r>
      <w:r>
        <w:rPr/>
        <w:t xml:space="preserve"> (Dz. U. 2013.1302) będących przedmiotem zainteresowania Wspólnoty. Art. 113 ust. 4 ustawy – </w:t>
      </w:r>
      <w:r>
        <w:rPr>
          <w:i/>
        </w:rPr>
        <w:t>Prawo wodne</w:t>
      </w:r>
      <w:r>
        <w:rPr/>
        <w:t xml:space="preserve"> obliguje do utworzenia rejestru wykazów obszarów przeznaczonych do ochrony siedlisk lub gatunków, ustanowionych w ustawie o ochronie przyrody, dla których utrzymanie lub poprawa stanu wód jest ważnym czynnikiem w ich ochronie. Oprócz obszarów należących do sieci Natura 2000 rejestr obejmuje obszary, których utworzenie reguluje ustawa o ochronie przyrody. Są to: parki narodowe, rezerwaty przyrody, parki krajobrazowe oraz obszary chronionego krajobrazu. Wśród obszarów chronionych zależnych od wód na obszarze JCWP „Soła od Wody Ujsolskiej do Zbiornika Tresna” są: Park Krajobrazowy Beskidu Śląskiego, OZW – Beskid Śląski, Żywiecki Park Krajobrazowy, OSO – Beskid Żywiecki, OZW– Beskid Żywiecki. Wymieniona JCWP rzeczna jest wyznaczona do ochrony jako przeznaczona do poboru wody na potrzeby zaopatrzenia ludności w wodę przeznaczoną do spożycia. </w:t>
      </w:r>
    </w:p>
    <w:p>
      <w:pPr>
        <w:pStyle w:val="Normal"/>
        <w:rPr/>
      </w:pPr>
      <w:r>
        <w:rPr/>
        <w:t>Dla JCWP wyznaczono cele środowiskowe – dobry stan ekologiczny i dobry stan chemiczny (odstępstwo od osiągnięcia celu -  przedłużenie terminu osiągnięcia celu w wyniku braku możliwości technicznych; termin osiągnięcia dobrego stanu 2021 r.)</w:t>
      </w:r>
    </w:p>
    <w:p>
      <w:pPr>
        <w:pStyle w:val="Normal"/>
        <w:rPr/>
      </w:pPr>
      <w:r>
        <w:rPr/>
        <w:t xml:space="preserve">Dyrektor Regionalnego Zarządu Gospodarki Wodnej w Krakowie wydał rozporządzenie Nr 43/2016 z dnia 9 grudnia 2016 r. w sprawie przyjęcia Planu utrzymania wód obejmującego obszar Regionalnego Zarządu Gospodarki Wodnej w Krakowie. Został sporządzony po uzgodnieniu z Prezesem Krajowego Zarządu Gospodarki Wodnej oraz właściwymi marszałkami województw. Plany te aktualizowane będą co 6 lat. Na podstawie art. 114b ust. 5 ustawy z dnia 18 lipca 2001 r. </w:t>
      </w:r>
      <w:r>
        <w:rPr>
          <w:i/>
        </w:rPr>
        <w:t>Prawo wodne</w:t>
      </w:r>
      <w:r>
        <w:rPr/>
        <w:t xml:space="preserve"> (tekst jedn. Dz. U. z 2015 r., poz. 469 z późn. zm.) RZGW w Krakowie przyjmuje  Plan utrzymania wód dla regionów wodnych: Górnej Wisły, Czarnej Orawy oraz Dniestru, który zawiera:</w:t>
      </w:r>
    </w:p>
    <w:p>
      <w:pPr>
        <w:pStyle w:val="Normal"/>
        <w:numPr>
          <w:ilvl w:val="0"/>
          <w:numId w:val="44"/>
        </w:numPr>
        <w:rPr/>
      </w:pPr>
      <w:r>
        <w:rPr/>
        <w:t xml:space="preserve">wykaz odcinków śródlądowych wód powierzchniowych, w obrębie których występują zagrożenia dla swobodnego przepływu wód oraz spływu lodów, wraz z identyfikacją tych zagrożeń, </w:t>
      </w:r>
    </w:p>
    <w:p>
      <w:pPr>
        <w:pStyle w:val="Normal"/>
        <w:numPr>
          <w:ilvl w:val="0"/>
          <w:numId w:val="44"/>
        </w:numPr>
        <w:rPr/>
      </w:pPr>
      <w:r>
        <w:rPr/>
        <w:t>wykaz będących własnością Skarbu Państwa budowli regulacyjnych i urządzeń wodnych o istotnym znaczeniu dla zarządzania wodami,</w:t>
      </w:r>
    </w:p>
    <w:p>
      <w:pPr>
        <w:pStyle w:val="Normal"/>
        <w:numPr>
          <w:ilvl w:val="0"/>
          <w:numId w:val="44"/>
        </w:numPr>
        <w:rPr/>
      </w:pPr>
      <w:r>
        <w:rPr/>
        <w:t>wykaz planowanych działań, o których mowa w art. 22 ust. 1b ustawy z dnia 18 lipca 2001 r. Prawo wodne.</w:t>
      </w:r>
    </w:p>
    <w:p>
      <w:pPr>
        <w:pStyle w:val="Normal"/>
        <w:rPr/>
      </w:pPr>
      <w:r>
        <w:rPr/>
        <w:t>Rozporządzenie zostało opublikowane w Dziennikach Urzędowych, w tym dotyczące zlewni Soły, w Dzienniku Urzędowym Województwa Śląskiego (Dz. Urz. Woj. Śląsk.2016.6845).</w:t>
      </w:r>
    </w:p>
    <w:p>
      <w:pPr>
        <w:pStyle w:val="Normal"/>
        <w:rPr/>
      </w:pPr>
      <w:r>
        <w:rPr/>
        <w:t xml:space="preserve"> </w:t>
      </w:r>
      <w:r>
        <w:rPr/>
        <w:t>W Dzienniku Urzędowym Województwa Śląskiego opublikowano Rozporządzenie Dyrektora Regionalnego Zarządu Gospodarki Wodnej w Krakowie z dnia 10 października 2017 r. zmieniające rozporządzenie w sprawie warunków korzystania z wód regionu wodnego Górnej Wisły w części należącej do województwa śląskiego (Dz. Urz. Woj. Śląsk.2017.5500).  Zawiera m.in. wykaz celów środowiskowych dla poszczególnych JCWP i JCWPd, wykaz cieków dla których konieczne jest zachowanie możliwości migracji ryb dwuśrodowiskowych wraz z przypisaniem im charakterystycznych gatunków ryb, wykaz JCWP zagrożonych nieosiągnięciem wyznaczonych celów środowiskowych do 2021 r.</w:t>
      </w:r>
    </w:p>
    <w:p>
      <w:pPr>
        <w:pStyle w:val="Normal"/>
        <w:rPr/>
      </w:pPr>
      <w:r>
        <w:rPr/>
      </w:r>
    </w:p>
    <w:p>
      <w:pPr>
        <w:pStyle w:val="Nagwek3"/>
        <w:numPr>
          <w:ilvl w:val="2"/>
          <w:numId w:val="2"/>
        </w:numPr>
        <w:ind w:hanging="851"/>
        <w:rPr/>
      </w:pPr>
      <w:bookmarkStart w:id="45" w:name="_Toc518331307"/>
      <w:bookmarkEnd w:id="45"/>
      <w:r>
        <w:rPr/>
        <w:t>Jakość wód powierzchniowych</w:t>
      </w:r>
    </w:p>
    <w:p>
      <w:pPr>
        <w:pStyle w:val="Normal"/>
        <w:rPr/>
      </w:pPr>
      <w:r>
        <w:rPr/>
        <w:t>Jednolite części wód powierzchniowych dzieli się na naturalne, dla których określa się stan ekologiczny i stan chemiczny oraz na sztuczne (powstałe w wyniku działalności człowieka) i silnie zmienione (ich charakter został w znacznym stopniu zmieniony w następstwie fizycznych przeobrażeń, będących wynikiem działalności człowieka), dla których określa się potencjał ekologiczny i stan chemiczny.</w:t>
      </w:r>
    </w:p>
    <w:p>
      <w:pPr>
        <w:pStyle w:val="Normal"/>
        <w:rPr/>
      </w:pPr>
      <w:r>
        <w:rPr/>
        <w:t xml:space="preserve">Szczegółowe zasady dotyczące planowania i realizacji programów badań monitoringowych jednolitych części wód powierzchniowych zawarte zostały w rozporządzeniu Ministra Środowiska z dnia 19 lipca 2016 r. </w:t>
      </w:r>
      <w:r>
        <w:rPr>
          <w:i/>
        </w:rPr>
        <w:t xml:space="preserve">w sprawie form i sposobu prowadzenia monitoringu wód powierzchniowych i podziemnych </w:t>
      </w:r>
      <w:r>
        <w:rPr/>
        <w:t xml:space="preserve">(Dz. U. 2016.1178). Natomiast zasady dotyczące klasyfikacji i oceny stanu jednolitych części wód powierzchniowych zawarte zostały w rozporządzeniu Ministra Środowiska z dnia 21 lipca 2016 r. </w:t>
      </w:r>
      <w:r>
        <w:rPr>
          <w:i/>
        </w:rPr>
        <w:t>w sprawie sposobu klasyfikacji stanu jednolitych części wód powierzchniowych oraz środowiskowych norm jakości dla substancji priorytetowych</w:t>
      </w:r>
      <w:r>
        <w:rPr/>
        <w:t xml:space="preserve"> (Dz.U.2016.1187) i rozporządzeniu Ministra Środowiska z dnia 9 listopada 2011 r. </w:t>
      </w:r>
      <w:r>
        <w:rPr>
          <w:i/>
        </w:rPr>
        <w:t>w sprawie klasyfikacji stanu ekologicznego, potencjału ekologicznego i stanu chemicznego jednolitych części wód powierzchniowych</w:t>
      </w:r>
      <w:r>
        <w:rPr/>
        <w:t xml:space="preserve"> (Dz. U.2011.258.1549).</w:t>
      </w:r>
    </w:p>
    <w:p>
      <w:pPr>
        <w:pStyle w:val="Normal"/>
        <w:rPr/>
      </w:pPr>
      <w:r>
        <w:rPr/>
        <w:t>Monitoring wód powierzchniowych w Kotlinie Żywieckiej prowadzi się w JCWP „Koszarawa od Krzyżówki bez Krzyżówki do ujścia” w 1 ppk. i „Soła od Wody Ujsolskiej do Zbiornika Tresna”, w 2 ppk. Są to punkty monitoringu operacyjnego, ostatnio zrealizowanego w 2015 r,  W 2016 r. prowadzono monitoring diagnostyczny oraz operacyjny i MOEU  w  punkcie</w:t>
      </w:r>
      <w:r>
        <w:rPr>
          <w:sz w:val="10"/>
          <w:szCs w:val="10"/>
        </w:rPr>
        <w:t xml:space="preserve"> </w:t>
      </w:r>
      <w:r>
        <w:rPr/>
        <w:t>Soła - wpływ do zbiornika Tresna z powodu złego stanu chemicznego (PSD). W 2015 r. oceniany był także stan wód w ramach programu MOPI tj. przeznaczonych do poboru wody na potrzeby zaopatrzenia ludności w wodę przeznaczoną do spożycia, dostarczające średnio więcej niż 100 m</w:t>
      </w:r>
      <w:r>
        <w:rPr>
          <w:vertAlign w:val="superscript"/>
        </w:rPr>
        <w:t>3</w:t>
      </w:r>
      <w:r>
        <w:rPr/>
        <w:t xml:space="preserve"> na dobę.</w:t>
      </w:r>
    </w:p>
    <w:p>
      <w:pPr>
        <w:pStyle w:val="Normal"/>
        <w:spacing w:lineRule="auto" w:line="360"/>
        <w:rPr>
          <w:bCs/>
          <w:shd w:fill="FFFFFF" w:val="clear"/>
        </w:rPr>
      </w:pPr>
      <w:r>
        <w:rPr>
          <w:bCs/>
          <w:shd w:fill="FFFFFF" w:val="clear"/>
        </w:rPr>
      </w:r>
    </w:p>
    <w:p>
      <w:pPr>
        <w:pStyle w:val="Normal"/>
        <w:ind w:hanging="0"/>
        <w:jc w:val="center"/>
        <w:rPr>
          <w:rStyle w:val="Strong"/>
          <w:highlight w:val="white"/>
        </w:rPr>
      </w:pPr>
      <w:r>
        <w:rPr/>
        <w:drawing>
          <wp:inline distT="19050" distB="0" distL="19050" distR="0">
            <wp:extent cx="5908040" cy="2954020"/>
            <wp:effectExtent l="0" t="0" r="0" b="0"/>
            <wp:docPr id="26" name="Obraz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19" descr=""/>
                    <pic:cNvPicPr>
                      <a:picLocks noChangeAspect="1" noChangeArrowheads="1"/>
                    </pic:cNvPicPr>
                  </pic:nvPicPr>
                  <pic:blipFill>
                    <a:blip r:embed="rId33"/>
                    <a:stretch>
                      <a:fillRect/>
                    </a:stretch>
                  </pic:blipFill>
                  <pic:spPr bwMode="auto">
                    <a:xfrm>
                      <a:off x="0" y="0"/>
                      <a:ext cx="5908040" cy="295402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20</w:t>
      </w:r>
      <w:r>
        <w:fldChar w:fldCharType="end"/>
      </w:r>
      <w:r>
        <w:rPr/>
        <w:t>.</w:t>
      </w:r>
      <w:r>
        <w:rPr>
          <w:b w:val="false"/>
        </w:rPr>
        <w:t xml:space="preserve"> Klasyfikacja stanu/potencjału ekologicznego jednolitych części wód powierzchniowych województwa śląskiego w 2015 roku (źródło: Stan środowiska w województwie śląskim w 2015 r.)</w:t>
      </w:r>
    </w:p>
    <w:p>
      <w:pPr>
        <w:pStyle w:val="Normal"/>
        <w:rPr>
          <w:rStyle w:val="Strong"/>
          <w:b w:val="false"/>
          <w:b w:val="false"/>
          <w:shd w:fill="FFFFFF" w:val="clear"/>
        </w:rPr>
      </w:pPr>
      <w:r>
        <w:rPr>
          <w:b w:val="false"/>
          <w:shd w:fill="FFFFFF" w:val="clear"/>
        </w:rPr>
      </w:r>
    </w:p>
    <w:p>
      <w:pPr>
        <w:pStyle w:val="Normal"/>
        <w:rPr>
          <w:rStyle w:val="Strong"/>
          <w:b w:val="false"/>
          <w:b w:val="false"/>
          <w:highlight w:val="white"/>
        </w:rPr>
      </w:pPr>
      <w:r>
        <w:rPr>
          <w:rStyle w:val="Strong"/>
          <w:b w:val="false"/>
          <w:shd w:fill="FFFFFF" w:val="clear"/>
        </w:rPr>
        <w:t>Wody rzeki Soły w Żywcu są poniżej dobrego stanu chemicznego ze względu na substancje priorytetowe</w:t>
      </w:r>
      <w:r>
        <w:rPr>
          <w:rFonts w:cs="Arial" w:ascii="Arial" w:hAnsi="Arial"/>
          <w:sz w:val="10"/>
          <w:szCs w:val="10"/>
        </w:rPr>
        <w:t xml:space="preserve"> </w:t>
      </w:r>
      <w:r>
        <w:rPr/>
        <w:t>Benzo(g,h,i)perylen i Indeno(1,2,3-cd)piren</w:t>
      </w:r>
      <w:r>
        <w:rPr>
          <w:rStyle w:val="Strong"/>
          <w:b w:val="false"/>
          <w:shd w:fill="FFFFFF" w:val="clear"/>
        </w:rPr>
        <w:t xml:space="preserve">. Stan JCWP jest zły. </w:t>
      </w:r>
    </w:p>
    <w:p>
      <w:pPr>
        <w:pStyle w:val="Normal"/>
        <w:rPr>
          <w:rStyle w:val="Strong"/>
          <w:b w:val="false"/>
          <w:b w:val="false"/>
          <w:highlight w:val="white"/>
        </w:rPr>
      </w:pPr>
      <w:r>
        <w:rPr>
          <w:rStyle w:val="Strong"/>
          <w:b w:val="false"/>
          <w:shd w:fill="FFFFFF" w:val="clear"/>
        </w:rPr>
        <w:t xml:space="preserve">Ze względu na wymagania dla obszarów chronionych wrażliwych na eutrofizację </w:t>
      </w:r>
      <w:r>
        <w:rPr/>
        <w:t xml:space="preserve">wywołaną zanieczyszczeniami pochodzącymi ze źródeł komunalnych (MOEU), ujściowy odcinek Koszarawy spełnia wymagania. W ppk. na Sole wymagania są spełnione, ale stan jest zły ze względu na zły stan chemiczny (PSD - </w:t>
      </w:r>
      <w:r>
        <w:rPr>
          <w:rStyle w:val="Strong"/>
          <w:b w:val="false"/>
          <w:shd w:fill="FFFFFF" w:val="clear"/>
        </w:rPr>
        <w:t>substancje priorytetowe</w:t>
      </w:r>
      <w:r>
        <w:rPr>
          <w:rFonts w:cs="Arial" w:ascii="Arial" w:hAnsi="Arial"/>
          <w:sz w:val="10"/>
          <w:szCs w:val="10"/>
        </w:rPr>
        <w:t xml:space="preserve"> </w:t>
      </w:r>
      <w:r>
        <w:rPr/>
        <w:t>Benzo(g,h,i)perylen i Indeno(1,2,3-cd)piren).</w:t>
      </w:r>
      <w:r>
        <w:rPr>
          <w:rStyle w:val="Strong"/>
          <w:b w:val="false"/>
          <w:shd w:fill="FFFFFF" w:val="clear"/>
        </w:rPr>
        <w:t xml:space="preserve"> </w:t>
      </w:r>
    </w:p>
    <w:p>
      <w:pPr>
        <w:pStyle w:val="Normal"/>
        <w:rPr>
          <w:bCs/>
        </w:rPr>
      </w:pPr>
      <w:r>
        <w:rPr>
          <w:bCs/>
        </w:rPr>
        <w:t xml:space="preserve">Klasyfikację stanu/potencjału ekologicznego i stanu chemicznego jednolitych części wód powierzchniowych wykonaną na podstawie badań prowadzonych w 2016 roku w oparciu o rozporządzenie ministra środowiska z dnia 21 lipca 2016 </w:t>
      </w:r>
      <w:r>
        <w:rPr>
          <w:bCs/>
          <w:i/>
        </w:rPr>
        <w:t xml:space="preserve">roku w sprawie klasyfikacji stanu jednolitych części wód powierzchniowych oraz środowiskowych norm jakości dla substancji priorytetowych </w:t>
      </w:r>
      <w:r>
        <w:rPr>
          <w:bCs/>
        </w:rPr>
        <w:t>(Dz.U.2016.1187) oraz wytycznych Głównego Inspektoratu Ochrony Środowiska przedstawiają tabele 10-12.</w:t>
      </w:r>
    </w:p>
    <w:p>
      <w:pPr>
        <w:sectPr>
          <w:headerReference w:type="even" r:id="rId34"/>
          <w:headerReference w:type="default" r:id="rId35"/>
          <w:footerReference w:type="even" r:id="rId36"/>
          <w:footerReference w:type="default" r:id="rId37"/>
          <w:footnotePr>
            <w:numFmt w:val="decimal"/>
          </w:footnotePr>
          <w:type w:val="nextPage"/>
          <w:pgSz w:w="11906" w:h="16838"/>
          <w:pgMar w:left="1418" w:right="1134" w:header="709" w:top="1418" w:footer="709" w:bottom="1418" w:gutter="0"/>
          <w:pgNumType w:fmt="decimal"/>
          <w:formProt w:val="false"/>
          <w:textDirection w:val="lrTb"/>
          <w:docGrid w:type="default" w:linePitch="360" w:charSpace="4294961151"/>
        </w:sectPr>
        <w:pStyle w:val="Caption"/>
        <w:jc w:val="center"/>
        <w:rPr/>
      </w:pPr>
      <w:r>
        <w:rPr/>
        <w:tab/>
      </w:r>
    </w:p>
    <w:p>
      <w:pPr>
        <w:pStyle w:val="Tytutabeli"/>
        <w:spacing w:lineRule="auto" w:line="480"/>
        <w:rPr/>
      </w:pPr>
      <w:r>
        <w:rPr/>
      </w:r>
    </w:p>
    <w:p>
      <w:pPr>
        <w:pStyle w:val="Caption"/>
        <w:keepNext/>
        <w:jc w:val="left"/>
        <w:rPr/>
      </w:pPr>
      <w:r>
        <w:rPr/>
        <w:t xml:space="preserve">Tabela </w:t>
      </w:r>
      <w:r>
        <w:rPr/>
        <w:fldChar w:fldCharType="begin"/>
      </w:r>
      <w:r>
        <w:instrText> SEQ Tabela \* ARABIC </w:instrText>
      </w:r>
      <w:r>
        <w:fldChar w:fldCharType="separate"/>
      </w:r>
      <w:r>
        <w:t>10</w:t>
      </w:r>
      <w:r>
        <w:fldChar w:fldCharType="end"/>
      </w:r>
      <w:r>
        <w:rPr/>
        <w:t>.</w:t>
      </w:r>
      <w:r>
        <w:rPr>
          <w:b w:val="false"/>
        </w:rPr>
        <w:t xml:space="preserve"> Klasyfikacja stanu/potencjału ekologicznego i ocena stanu chemicznego i stanu jednolitych części wód powierzchniowych w 2015 r. (WIOŚ Katowice)</w:t>
      </w:r>
    </w:p>
    <w:tbl>
      <w:tblPr>
        <w:tblW w:w="5000" w:type="pct"/>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65" w:type="dxa"/>
          <w:bottom w:w="0" w:type="dxa"/>
          <w:right w:w="70" w:type="dxa"/>
        </w:tblCellMar>
        <w:tblLook w:firstRow="1" w:noVBand="1" w:lastRow="0" w:firstColumn="1" w:lastColumn="0" w:noHBand="0" w:val="04a0"/>
      </w:tblPr>
      <w:tblGrid>
        <w:gridCol w:w="987"/>
        <w:gridCol w:w="900"/>
        <w:gridCol w:w="1020"/>
        <w:gridCol w:w="1017"/>
        <w:gridCol w:w="677"/>
        <w:gridCol w:w="654"/>
        <w:gridCol w:w="737"/>
        <w:gridCol w:w="812"/>
        <w:gridCol w:w="986"/>
        <w:gridCol w:w="983"/>
        <w:gridCol w:w="1020"/>
        <w:gridCol w:w="942"/>
        <w:gridCol w:w="809"/>
        <w:gridCol w:w="1097"/>
        <w:gridCol w:w="883"/>
        <w:gridCol w:w="758"/>
      </w:tblGrid>
      <w:tr>
        <w:trPr>
          <w:trHeight w:val="373" w:hRule="atLeast"/>
        </w:trPr>
        <w:tc>
          <w:tcPr>
            <w:tcW w:w="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5" w:type="dxa"/>
            </w:tcMar>
            <w:vAlign w:val="center"/>
          </w:tcPr>
          <w:p>
            <w:pPr>
              <w:pStyle w:val="Normal"/>
              <w:spacing w:before="40" w:after="40"/>
              <w:ind w:hanging="0"/>
              <w:jc w:val="center"/>
              <w:rPr>
                <w:rFonts w:ascii="Arial" w:hAnsi="Arial" w:cs="Arial"/>
                <w:sz w:val="10"/>
                <w:szCs w:val="10"/>
              </w:rPr>
            </w:pPr>
            <w:r>
              <w:rPr>
                <w:rFonts w:cs="Arial" w:ascii="Arial" w:hAnsi="Arial"/>
                <w:sz w:val="10"/>
                <w:szCs w:val="10"/>
              </w:rPr>
              <w:t>Nazwa ocenianej jcw</w:t>
            </w:r>
          </w:p>
        </w:tc>
        <w:tc>
          <w:tcPr>
            <w:tcW w:w="900"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Kod ocenianej jcw</w:t>
            </w:r>
          </w:p>
        </w:tc>
        <w:tc>
          <w:tcPr>
            <w:tcW w:w="1020"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Kod reprezentatywnego punktu pomiarowo-kontrolnego</w:t>
            </w:r>
          </w:p>
        </w:tc>
        <w:tc>
          <w:tcPr>
            <w:tcW w:w="1017"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Nazwa reprezentatywnego punktu pomiarowo-kontrolnego</w:t>
            </w:r>
          </w:p>
        </w:tc>
        <w:tc>
          <w:tcPr>
            <w:tcW w:w="677"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Typ abiotyczny</w:t>
            </w:r>
          </w:p>
        </w:tc>
        <w:tc>
          <w:tcPr>
            <w:tcW w:w="654"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Silnie zmieniona lub sztuczna jcw (T/N)</w:t>
            </w:r>
          </w:p>
        </w:tc>
        <w:tc>
          <w:tcPr>
            <w:tcW w:w="737"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Program monitoringu (MD, MO lub MB)</w:t>
            </w:r>
          </w:p>
        </w:tc>
        <w:tc>
          <w:tcPr>
            <w:tcW w:w="81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biologicznych</w:t>
            </w:r>
          </w:p>
        </w:tc>
        <w:tc>
          <w:tcPr>
            <w:tcW w:w="98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hydromorfolo-gicznych</w:t>
            </w:r>
          </w:p>
        </w:tc>
        <w:tc>
          <w:tcPr>
            <w:tcW w:w="983"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 xml:space="preserve">Klasa elementów fizykochemicznych </w:t>
            </w:r>
          </w:p>
        </w:tc>
        <w:tc>
          <w:tcPr>
            <w:tcW w:w="1020"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fizykochemicznych - specyficzne zanieczyszczenia syntetyczne i niesyntetyczne</w:t>
            </w:r>
          </w:p>
        </w:tc>
        <w:tc>
          <w:tcPr>
            <w:tcW w:w="94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Stan/potencjał ekologiczny</w:t>
            </w:r>
          </w:p>
        </w:tc>
        <w:tc>
          <w:tcPr>
            <w:tcW w:w="809"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Czy jcw występuje na obszarze chronionym? (TAK/NIE)</w:t>
            </w:r>
          </w:p>
        </w:tc>
        <w:tc>
          <w:tcPr>
            <w:tcW w:w="1097"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Czy we wszystkich ppk MOC stwierdzono spełnienie wymagań dodatkowych? (TAK/NIE/NIE DOTYCZY)</w:t>
            </w:r>
          </w:p>
        </w:tc>
        <w:tc>
          <w:tcPr>
            <w:tcW w:w="883"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 CHEMICZNY</w:t>
            </w:r>
          </w:p>
        </w:tc>
        <w:tc>
          <w:tcPr>
            <w:tcW w:w="75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w:t>
            </w:r>
          </w:p>
        </w:tc>
      </w:tr>
      <w:tr>
        <w:trPr>
          <w:trHeight w:val="503" w:hRule="atLeast"/>
        </w:trPr>
        <w:tc>
          <w:tcPr>
            <w:tcW w:w="987" w:type="dxa"/>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5" w:type="dxa"/>
            </w:tcMar>
            <w:vAlign w:val="center"/>
          </w:tcPr>
          <w:p>
            <w:pPr>
              <w:pStyle w:val="Normal"/>
              <w:spacing w:before="40" w:after="40"/>
              <w:ind w:hanging="0"/>
              <w:jc w:val="left"/>
              <w:rPr>
                <w:rFonts w:ascii="Arial" w:hAnsi="Arial" w:cs="Arial"/>
                <w:sz w:val="10"/>
                <w:szCs w:val="10"/>
              </w:rPr>
            </w:pPr>
            <w:r>
              <w:rPr>
                <w:rFonts w:cs="Arial" w:ascii="Arial" w:hAnsi="Arial"/>
                <w:sz w:val="10"/>
                <w:szCs w:val="10"/>
              </w:rPr>
              <w:t>Soła od Wody Ujsolskiej do Zbiornika Tresna</w:t>
            </w:r>
          </w:p>
        </w:tc>
        <w:tc>
          <w:tcPr>
            <w:tcW w:w="900"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PLRW200014213259</w:t>
            </w:r>
          </w:p>
        </w:tc>
        <w:tc>
          <w:tcPr>
            <w:tcW w:w="1020"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PL01S1301_1727</w:t>
            </w:r>
          </w:p>
        </w:tc>
        <w:tc>
          <w:tcPr>
            <w:tcW w:w="1017"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 xml:space="preserve">Soła - wpływ do zbiornika Tresna </w:t>
            </w:r>
          </w:p>
        </w:tc>
        <w:tc>
          <w:tcPr>
            <w:tcW w:w="677"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14</w:t>
            </w:r>
          </w:p>
        </w:tc>
        <w:tc>
          <w:tcPr>
            <w:tcW w:w="654"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w:t>
            </w:r>
            <w:r>
              <w:rPr>
                <w:rFonts w:cs="Arial" w:ascii="Arial" w:hAnsi="Arial"/>
                <w:sz w:val="10"/>
                <w:szCs w:val="10"/>
                <w:vertAlign w:val="superscript"/>
              </w:rPr>
              <w:t>1</w:t>
            </w:r>
          </w:p>
        </w:tc>
        <w:tc>
          <w:tcPr>
            <w:tcW w:w="737"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MO</w:t>
            </w:r>
          </w:p>
        </w:tc>
        <w:tc>
          <w:tcPr>
            <w:tcW w:w="812" w:type="dxa"/>
            <w:tcBorders>
              <w:bottom w:val="single" w:sz="4" w:space="0" w:color="00000A"/>
              <w:right w:val="single" w:sz="4" w:space="0" w:color="00000A"/>
              <w:insideH w:val="single" w:sz="4" w:space="0" w:color="00000A"/>
              <w:insideV w:val="single" w:sz="4" w:space="0" w:color="00000A"/>
            </w:tcBorders>
            <w:shd w:color="000000" w:fill="FFFF00" w:val="thinReverseDiagStripe"/>
            <w:vAlign w:val="center"/>
          </w:tcPr>
          <w:p>
            <w:pPr>
              <w:pStyle w:val="Normal"/>
              <w:spacing w:before="40" w:after="40"/>
              <w:ind w:hanging="0"/>
              <w:jc w:val="center"/>
              <w:rPr>
                <w:rFonts w:ascii="Arial" w:hAnsi="Arial" w:cs="Arial"/>
                <w:sz w:val="10"/>
                <w:szCs w:val="10"/>
              </w:rPr>
            </w:pPr>
            <w:r>
              <w:rPr>
                <w:rFonts w:cs="Arial" w:ascii="Arial" w:hAnsi="Arial"/>
                <w:sz w:val="10"/>
                <w:szCs w:val="10"/>
              </w:rPr>
              <w:t>III</w:t>
            </w:r>
          </w:p>
        </w:tc>
        <w:tc>
          <w:tcPr>
            <w:tcW w:w="986" w:type="dxa"/>
            <w:tcBorders>
              <w:bottom w:val="single" w:sz="4" w:space="0" w:color="00000A"/>
              <w:right w:val="single" w:sz="4" w:space="0" w:color="00000A"/>
              <w:insideH w:val="single" w:sz="4" w:space="0" w:color="00000A"/>
              <w:insideV w:val="single" w:sz="4" w:space="0" w:color="00000A"/>
            </w:tcBorders>
            <w:shd w:color="000000" w:fill="00FF00" w:val="thinReverseDiagStripe"/>
            <w:vAlign w:val="center"/>
          </w:tcPr>
          <w:p>
            <w:pPr>
              <w:pStyle w:val="Normal"/>
              <w:spacing w:before="40" w:after="40"/>
              <w:ind w:hanging="0"/>
              <w:jc w:val="center"/>
              <w:rPr>
                <w:rFonts w:ascii="Arial" w:hAnsi="Arial" w:cs="Arial"/>
                <w:sz w:val="10"/>
                <w:szCs w:val="10"/>
              </w:rPr>
            </w:pPr>
            <w:r>
              <w:rPr>
                <w:rFonts w:cs="Arial" w:ascii="Arial" w:hAnsi="Arial"/>
                <w:sz w:val="10"/>
                <w:szCs w:val="10"/>
              </w:rPr>
              <w:t>II</w:t>
            </w:r>
          </w:p>
        </w:tc>
        <w:tc>
          <w:tcPr>
            <w:tcW w:w="983" w:type="dxa"/>
            <w:tcBorders>
              <w:bottom w:val="single" w:sz="4" w:space="0" w:color="00000A"/>
              <w:right w:val="single" w:sz="4" w:space="0" w:color="00000A"/>
              <w:insideH w:val="single" w:sz="4" w:space="0" w:color="00000A"/>
              <w:insideV w:val="single" w:sz="4" w:space="0" w:color="00000A"/>
            </w:tcBorders>
            <w:shd w:color="000000" w:fill="00B0F0" w:val="thinReverseDiagStripe"/>
            <w:vAlign w:val="center"/>
          </w:tcPr>
          <w:p>
            <w:pPr>
              <w:pStyle w:val="Normal"/>
              <w:spacing w:before="40" w:after="40"/>
              <w:ind w:hanging="0"/>
              <w:jc w:val="center"/>
              <w:rPr>
                <w:rFonts w:ascii="Arial" w:hAnsi="Arial" w:cs="Arial"/>
                <w:sz w:val="10"/>
                <w:szCs w:val="10"/>
              </w:rPr>
            </w:pPr>
            <w:r>
              <w:rPr>
                <w:rFonts w:cs="Arial" w:ascii="Arial" w:hAnsi="Arial"/>
                <w:sz w:val="10"/>
                <w:szCs w:val="10"/>
              </w:rPr>
              <w:t>I</w:t>
            </w:r>
          </w:p>
        </w:tc>
        <w:tc>
          <w:tcPr>
            <w:tcW w:w="1020" w:type="dxa"/>
            <w:tcBorders>
              <w:bottom w:val="single" w:sz="4" w:space="0" w:color="00000A"/>
              <w:right w:val="single" w:sz="4" w:space="0" w:color="00000A"/>
              <w:insideH w:val="single" w:sz="4" w:space="0" w:color="00000A"/>
              <w:insideV w:val="single" w:sz="4" w:space="0" w:color="00000A"/>
            </w:tcBorders>
            <w:shd w:color="000000" w:fill="00FF00" w:val="thinReverseDiagStripe"/>
            <w:vAlign w:val="center"/>
          </w:tcPr>
          <w:p>
            <w:pPr>
              <w:pStyle w:val="Normal"/>
              <w:spacing w:before="40" w:after="40"/>
              <w:ind w:hanging="0"/>
              <w:jc w:val="center"/>
              <w:rPr>
                <w:rFonts w:ascii="Arial" w:hAnsi="Arial" w:cs="Arial"/>
                <w:sz w:val="10"/>
                <w:szCs w:val="10"/>
              </w:rPr>
            </w:pPr>
            <w:r>
              <w:rPr>
                <w:rFonts w:cs="Arial" w:ascii="Arial" w:hAnsi="Arial"/>
                <w:sz w:val="10"/>
                <w:szCs w:val="10"/>
              </w:rPr>
              <w:t>II</w:t>
            </w:r>
          </w:p>
        </w:tc>
        <w:tc>
          <w:tcPr>
            <w:tcW w:w="942" w:type="dxa"/>
            <w:tcBorders>
              <w:bottom w:val="single" w:sz="4" w:space="0" w:color="00000A"/>
              <w:right w:val="single" w:sz="4" w:space="0" w:color="00000A"/>
              <w:insideH w:val="single" w:sz="4" w:space="0" w:color="00000A"/>
              <w:insideV w:val="single" w:sz="4" w:space="0" w:color="00000A"/>
            </w:tcBorders>
            <w:shd w:color="000000" w:fill="FFC000" w:val="thinReverseDiagStripe"/>
            <w:vAlign w:val="center"/>
          </w:tcPr>
          <w:p>
            <w:pPr>
              <w:pStyle w:val="Normal"/>
              <w:spacing w:before="40" w:after="40"/>
              <w:ind w:hanging="0"/>
              <w:jc w:val="center"/>
              <w:rPr>
                <w:rFonts w:ascii="Arial" w:hAnsi="Arial" w:cs="Arial"/>
                <w:sz w:val="10"/>
                <w:szCs w:val="10"/>
              </w:rPr>
            </w:pPr>
            <w:r>
              <w:rPr>
                <w:rFonts w:cs="Arial" w:ascii="Arial" w:hAnsi="Arial"/>
                <w:sz w:val="10"/>
                <w:szCs w:val="10"/>
              </w:rPr>
              <w:t>UMIARKOWANY</w:t>
            </w:r>
          </w:p>
        </w:tc>
        <w:tc>
          <w:tcPr>
            <w:tcW w:w="809"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w:t>
            </w:r>
          </w:p>
        </w:tc>
        <w:tc>
          <w:tcPr>
            <w:tcW w:w="1097"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b/>
                <w:b/>
                <w:sz w:val="10"/>
                <w:szCs w:val="10"/>
              </w:rPr>
            </w:pPr>
            <w:r>
              <w:rPr>
                <w:rFonts w:cs="Arial" w:ascii="Arial" w:hAnsi="Arial"/>
                <w:b/>
                <w:sz w:val="10"/>
                <w:szCs w:val="10"/>
              </w:rPr>
              <w:t>NIE</w:t>
            </w:r>
          </w:p>
        </w:tc>
        <w:tc>
          <w:tcPr>
            <w:tcW w:w="883" w:type="dxa"/>
            <w:tcBorders>
              <w:bottom w:val="single" w:sz="4" w:space="0" w:color="00000A"/>
              <w:right w:val="single" w:sz="4" w:space="0" w:color="00000A"/>
              <w:insideH w:val="single" w:sz="4" w:space="0" w:color="00000A"/>
              <w:insideV w:val="single" w:sz="4" w:space="0" w:color="00000A"/>
            </w:tcBorders>
            <w:shd w:color="000000" w:fill="FF0000" w:val="clear"/>
            <w:vAlign w:val="center"/>
          </w:tcPr>
          <w:p>
            <w:pPr>
              <w:pStyle w:val="Normal"/>
              <w:spacing w:before="40" w:after="40"/>
              <w:ind w:hanging="0"/>
              <w:jc w:val="center"/>
              <w:rPr>
                <w:rFonts w:ascii="Arial" w:hAnsi="Arial" w:cs="Arial"/>
                <w:sz w:val="10"/>
                <w:szCs w:val="10"/>
                <w:lang w:val="en-US"/>
              </w:rPr>
            </w:pPr>
            <w:r>
              <w:rPr>
                <w:rFonts w:cs="Arial" w:ascii="Arial" w:hAnsi="Arial"/>
                <w:b/>
                <w:bCs/>
                <w:sz w:val="10"/>
                <w:szCs w:val="10"/>
                <w:lang w:val="en-US"/>
              </w:rPr>
              <w:t>PSD_sr</w:t>
            </w:r>
            <w:r>
              <w:rPr>
                <w:rFonts w:cs="Arial" w:ascii="Arial" w:hAnsi="Arial"/>
                <w:sz w:val="10"/>
                <w:szCs w:val="10"/>
                <w:lang w:val="en-US"/>
              </w:rPr>
              <w:br/>
              <w:t>Benzo(g,h,i)perylen</w:t>
              <w:br/>
              <w:t xml:space="preserve">Indeno(1,2,3-cd)piren </w:t>
            </w:r>
          </w:p>
        </w:tc>
        <w:tc>
          <w:tcPr>
            <w:tcW w:w="758" w:type="dxa"/>
            <w:tcBorders>
              <w:bottom w:val="single" w:sz="4" w:space="0" w:color="00000A"/>
              <w:right w:val="single" w:sz="4" w:space="0" w:color="00000A"/>
              <w:insideH w:val="single" w:sz="4" w:space="0" w:color="00000A"/>
              <w:insideV w:val="single" w:sz="4" w:space="0" w:color="00000A"/>
            </w:tcBorders>
            <w:shd w:color="000000" w:fill="FF0000" w:val="clear"/>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ZŁY</w:t>
            </w:r>
          </w:p>
        </w:tc>
      </w:tr>
    </w:tbl>
    <w:p>
      <w:pPr>
        <w:pStyle w:val="Normal"/>
        <w:spacing w:before="60" w:after="0"/>
        <w:ind w:hanging="0"/>
        <w:rPr>
          <w:rFonts w:ascii="Arial" w:hAnsi="Arial" w:cs="Arial"/>
          <w:i/>
          <w:i/>
          <w:sz w:val="10"/>
          <w:szCs w:val="10"/>
        </w:rPr>
      </w:pPr>
      <w:r>
        <w:rPr>
          <w:rFonts w:cs="Arial" w:ascii="Arial" w:hAnsi="Arial"/>
          <w:i/>
          <w:sz w:val="10"/>
          <w:szCs w:val="10"/>
          <w:vertAlign w:val="superscript"/>
        </w:rPr>
        <w:t>1</w:t>
      </w:r>
      <w:r>
        <w:rPr>
          <w:rFonts w:cs="Arial" w:ascii="Arial" w:hAnsi="Arial"/>
          <w:i/>
          <w:sz w:val="10"/>
          <w:szCs w:val="10"/>
        </w:rPr>
        <w:t xml:space="preserve"> – w 2016 r. zmieniony status na naturalny</w:t>
      </w:r>
    </w:p>
    <w:p>
      <w:pPr>
        <w:pStyle w:val="Normal"/>
        <w:spacing w:lineRule="auto" w:line="360"/>
        <w:rPr>
          <w:rStyle w:val="Strong"/>
          <w:b w:val="false"/>
          <w:b w:val="false"/>
          <w:shd w:fill="FFFFFF" w:val="clear"/>
        </w:rPr>
      </w:pPr>
      <w:r>
        <w:rPr>
          <w:b w:val="false"/>
          <w:shd w:fill="FFFFFF" w:val="clear"/>
        </w:rPr>
      </w:r>
    </w:p>
    <w:p>
      <w:pPr>
        <w:pStyle w:val="Caption"/>
        <w:keepNext/>
        <w:jc w:val="left"/>
        <w:rPr/>
      </w:pPr>
      <w:r>
        <w:rPr/>
        <w:t xml:space="preserve">Tabela </w:t>
      </w:r>
      <w:r>
        <w:rPr/>
        <w:fldChar w:fldCharType="begin"/>
      </w:r>
      <w:r>
        <w:instrText> SEQ Tabela \* ARABIC </w:instrText>
      </w:r>
      <w:r>
        <w:fldChar w:fldCharType="separate"/>
      </w:r>
      <w:r>
        <w:t>11</w:t>
      </w:r>
      <w:r>
        <w:fldChar w:fldCharType="end"/>
      </w:r>
      <w:r>
        <w:rPr/>
        <w:t>.</w:t>
      </w:r>
      <w:r>
        <w:rPr>
          <w:rStyle w:val="Strong"/>
        </w:rPr>
        <w:t xml:space="preserve"> Ocena stanu chemicznego i stanu wód powierzchniowych w ppk. obszarów chronionych w 2015 r. (WIOŚ Katowice)</w:t>
      </w:r>
    </w:p>
    <w:tbl>
      <w:tblPr>
        <w:tblW w:w="4950" w:type="pct"/>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65" w:type="dxa"/>
          <w:bottom w:w="0" w:type="dxa"/>
          <w:right w:w="70" w:type="dxa"/>
        </w:tblCellMar>
        <w:tblLook w:firstRow="1" w:noVBand="1" w:lastRow="0" w:firstColumn="1" w:lastColumn="0" w:noHBand="0" w:val="04a0"/>
      </w:tblPr>
      <w:tblGrid>
        <w:gridCol w:w="906"/>
        <w:gridCol w:w="974"/>
        <w:gridCol w:w="978"/>
        <w:gridCol w:w="974"/>
        <w:gridCol w:w="697"/>
        <w:gridCol w:w="698"/>
        <w:gridCol w:w="698"/>
        <w:gridCol w:w="835"/>
        <w:gridCol w:w="976"/>
        <w:gridCol w:w="975"/>
        <w:gridCol w:w="1016"/>
        <w:gridCol w:w="883"/>
        <w:gridCol w:w="882"/>
        <w:gridCol w:w="883"/>
        <w:gridCol w:w="882"/>
        <w:gridCol w:w="882"/>
      </w:tblGrid>
      <w:tr>
        <w:trPr>
          <w:trHeight w:val="443" w:hRule="atLeast"/>
        </w:trPr>
        <w:tc>
          <w:tcPr>
            <w:tcW w:w="9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5" w:type="dxa"/>
            </w:tcMar>
            <w:vAlign w:val="center"/>
          </w:tcPr>
          <w:p>
            <w:pPr>
              <w:pStyle w:val="Normal"/>
              <w:spacing w:before="40" w:after="40"/>
              <w:ind w:hanging="0"/>
              <w:jc w:val="center"/>
              <w:rPr>
                <w:rFonts w:ascii="Arial" w:hAnsi="Arial" w:cs="Arial"/>
                <w:sz w:val="10"/>
                <w:szCs w:val="10"/>
              </w:rPr>
            </w:pPr>
            <w:r>
              <w:rPr>
                <w:rFonts w:cs="Arial" w:ascii="Arial" w:hAnsi="Arial"/>
                <w:sz w:val="10"/>
                <w:szCs w:val="10"/>
              </w:rPr>
              <w:t>Nazwa ocenianej jcw</w:t>
            </w:r>
          </w:p>
        </w:tc>
        <w:tc>
          <w:tcPr>
            <w:tcW w:w="974"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Kod ocenianej jcw</w:t>
            </w:r>
          </w:p>
        </w:tc>
        <w:tc>
          <w:tcPr>
            <w:tcW w:w="97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Kod reprezentatywnego punktu pomiarowo-kontrolnego</w:t>
            </w:r>
          </w:p>
        </w:tc>
        <w:tc>
          <w:tcPr>
            <w:tcW w:w="974"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Nazwa reprezentatywnego punktu pomiarowo-kontrolnego</w:t>
            </w:r>
          </w:p>
        </w:tc>
        <w:tc>
          <w:tcPr>
            <w:tcW w:w="697"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Typ abiotyczny</w:t>
            </w:r>
          </w:p>
        </w:tc>
        <w:tc>
          <w:tcPr>
            <w:tcW w:w="69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Silnie zmieniona lub sztuczna jcw (T/N)</w:t>
            </w:r>
          </w:p>
        </w:tc>
        <w:tc>
          <w:tcPr>
            <w:tcW w:w="69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Program monitoringu (MDRWna, MORWna, inny)</w:t>
            </w:r>
          </w:p>
        </w:tc>
        <w:tc>
          <w:tcPr>
            <w:tcW w:w="835"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biologicznych</w:t>
            </w:r>
          </w:p>
        </w:tc>
        <w:tc>
          <w:tcPr>
            <w:tcW w:w="97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hydromorfolo-gicznych</w:t>
            </w:r>
          </w:p>
        </w:tc>
        <w:tc>
          <w:tcPr>
            <w:tcW w:w="975"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 xml:space="preserve">Klasa elementów fizykochemicznych </w:t>
            </w:r>
          </w:p>
        </w:tc>
        <w:tc>
          <w:tcPr>
            <w:tcW w:w="101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fizykochemicznych - specyficzne zanieczyszczenia syntetyczne i niesyntetyczne</w:t>
            </w:r>
          </w:p>
        </w:tc>
        <w:tc>
          <w:tcPr>
            <w:tcW w:w="883"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Stan/potencjał ekologiczny w ppk monitoringu obszarów chronionych</w:t>
            </w:r>
          </w:p>
        </w:tc>
        <w:tc>
          <w:tcPr>
            <w:tcW w:w="88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 CHEMICZNY w ppk obszarów chronionych</w:t>
            </w:r>
          </w:p>
        </w:tc>
        <w:tc>
          <w:tcPr>
            <w:tcW w:w="883"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Ocena spełnienia wymagań</w:t>
            </w:r>
            <w:r>
              <w:rPr>
                <w:rFonts w:cs="Arial" w:ascii="Arial" w:hAnsi="Arial"/>
                <w:sz w:val="10"/>
                <w:szCs w:val="10"/>
                <w:vertAlign w:val="superscript"/>
              </w:rPr>
              <w:t>1</w:t>
            </w:r>
          </w:p>
        </w:tc>
        <w:tc>
          <w:tcPr>
            <w:tcW w:w="88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Ocena spełnienia wymagań</w:t>
            </w:r>
            <w:r>
              <w:rPr>
                <w:rFonts w:cs="Arial" w:ascii="Arial" w:hAnsi="Arial"/>
                <w:sz w:val="10"/>
                <w:szCs w:val="10"/>
                <w:vertAlign w:val="superscript"/>
              </w:rPr>
              <w:t>2</w:t>
            </w:r>
          </w:p>
        </w:tc>
        <w:tc>
          <w:tcPr>
            <w:tcW w:w="88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 w ppk obszarów chronionych</w:t>
            </w:r>
          </w:p>
        </w:tc>
      </w:tr>
      <w:tr>
        <w:trPr>
          <w:trHeight w:val="120" w:hRule="atLeast"/>
        </w:trPr>
        <w:tc>
          <w:tcPr>
            <w:tcW w:w="9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5" w:type="dxa"/>
            </w:tcMar>
            <w:vAlign w:val="center"/>
          </w:tcPr>
          <w:p>
            <w:pPr>
              <w:pStyle w:val="Normal"/>
              <w:spacing w:before="40" w:after="40"/>
              <w:ind w:hanging="0"/>
              <w:jc w:val="left"/>
              <w:rPr>
                <w:rFonts w:ascii="Arial" w:hAnsi="Arial" w:cs="Arial"/>
                <w:sz w:val="10"/>
                <w:szCs w:val="10"/>
              </w:rPr>
            </w:pPr>
            <w:r>
              <w:rPr>
                <w:rFonts w:cs="Arial" w:ascii="Arial" w:hAnsi="Arial"/>
                <w:sz w:val="10"/>
                <w:szCs w:val="10"/>
              </w:rPr>
              <w:t>Soła od Wody Ujsolskiej do Zbiornika Tresna</w:t>
            </w:r>
          </w:p>
        </w:tc>
        <w:tc>
          <w:tcPr>
            <w:tcW w:w="974"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PLRW200014213259</w:t>
            </w:r>
          </w:p>
        </w:tc>
        <w:tc>
          <w:tcPr>
            <w:tcW w:w="97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PL01S1301_1727</w:t>
            </w:r>
          </w:p>
        </w:tc>
        <w:tc>
          <w:tcPr>
            <w:tcW w:w="974"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 xml:space="preserve">Soła - wpływ do zbiornika Tresna </w:t>
            </w:r>
          </w:p>
        </w:tc>
        <w:tc>
          <w:tcPr>
            <w:tcW w:w="697"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14</w:t>
            </w:r>
          </w:p>
        </w:tc>
        <w:tc>
          <w:tcPr>
            <w:tcW w:w="69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w:t>
            </w:r>
          </w:p>
        </w:tc>
        <w:tc>
          <w:tcPr>
            <w:tcW w:w="69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MOEU</w:t>
            </w:r>
            <w:r>
              <w:rPr>
                <w:rFonts w:cs="Arial" w:ascii="Arial" w:hAnsi="Arial"/>
                <w:sz w:val="10"/>
                <w:szCs w:val="10"/>
                <w:vertAlign w:val="superscript"/>
              </w:rPr>
              <w:t>3</w:t>
            </w:r>
          </w:p>
        </w:tc>
        <w:tc>
          <w:tcPr>
            <w:tcW w:w="835"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FF99" w:val="thinReverseDiagStripe"/>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III</w:t>
            </w:r>
          </w:p>
        </w:tc>
        <w:tc>
          <w:tcPr>
            <w:tcW w:w="976"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FF00" w:val="thinReverseDiagStripe"/>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II</w:t>
            </w:r>
          </w:p>
        </w:tc>
        <w:tc>
          <w:tcPr>
            <w:tcW w:w="975"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CCFF" w:val="thinReverseDiagStripe"/>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I</w:t>
            </w:r>
          </w:p>
        </w:tc>
        <w:tc>
          <w:tcPr>
            <w:tcW w:w="1016"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FF00" w:val="thinReverseDiagStripe"/>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II</w:t>
            </w:r>
          </w:p>
        </w:tc>
        <w:tc>
          <w:tcPr>
            <w:tcW w:w="883"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FF99" w:val="thinReverseDiagStripe"/>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UMIARKOWANY</w:t>
            </w:r>
          </w:p>
        </w:tc>
        <w:tc>
          <w:tcPr>
            <w:tcW w:w="882"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0000" w:val="clear"/>
            <w:vAlign w:val="center"/>
          </w:tcPr>
          <w:p>
            <w:pPr>
              <w:pStyle w:val="Normal"/>
              <w:spacing w:before="40" w:after="40"/>
              <w:ind w:hanging="0"/>
              <w:jc w:val="center"/>
              <w:rPr>
                <w:rFonts w:ascii="Arial" w:hAnsi="Arial" w:cs="Arial"/>
                <w:sz w:val="10"/>
                <w:szCs w:val="10"/>
                <w:lang w:val="en-US"/>
              </w:rPr>
            </w:pPr>
            <w:r>
              <w:rPr>
                <w:rFonts w:cs="Arial" w:ascii="Arial" w:hAnsi="Arial"/>
                <w:b/>
                <w:bCs/>
                <w:sz w:val="10"/>
                <w:szCs w:val="10"/>
                <w:lang w:val="en-US"/>
              </w:rPr>
              <w:t>PSD_sr</w:t>
            </w:r>
            <w:r>
              <w:rPr>
                <w:rFonts w:cs="Arial" w:ascii="Arial" w:hAnsi="Arial"/>
                <w:sz w:val="10"/>
                <w:szCs w:val="10"/>
                <w:lang w:val="en-US"/>
              </w:rPr>
              <w:br/>
              <w:t>Benzo(g,h,i)perylen</w:t>
              <w:br/>
              <w:t xml:space="preserve">Indeno(1,2,3-cd)piren </w:t>
            </w:r>
          </w:p>
        </w:tc>
        <w:tc>
          <w:tcPr>
            <w:tcW w:w="883"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CCFF" w:val="clear"/>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T</w:t>
            </w:r>
          </w:p>
        </w:tc>
        <w:tc>
          <w:tcPr>
            <w:tcW w:w="882"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CCFF" w:val="clear"/>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T</w:t>
            </w:r>
          </w:p>
        </w:tc>
        <w:tc>
          <w:tcPr>
            <w:tcW w:w="882"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0000" w:val="clear"/>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ZŁY</w:t>
            </w:r>
          </w:p>
        </w:tc>
      </w:tr>
    </w:tbl>
    <w:p>
      <w:pPr>
        <w:pStyle w:val="Normal"/>
        <w:spacing w:before="60" w:after="0"/>
        <w:ind w:hanging="0"/>
        <w:rPr>
          <w:rFonts w:ascii="Arial" w:hAnsi="Arial" w:cs="Arial"/>
          <w:i/>
          <w:i/>
          <w:sz w:val="10"/>
          <w:szCs w:val="10"/>
        </w:rPr>
      </w:pPr>
      <w:r>
        <w:rPr>
          <w:rFonts w:cs="Arial" w:ascii="Arial" w:hAnsi="Arial"/>
          <w:i/>
          <w:sz w:val="10"/>
          <w:szCs w:val="10"/>
          <w:vertAlign w:val="superscript"/>
        </w:rPr>
        <w:t>1</w:t>
      </w:r>
      <w:r>
        <w:rPr>
          <w:rFonts w:cs="Arial" w:ascii="Arial" w:hAnsi="Arial"/>
          <w:i/>
          <w:sz w:val="10"/>
          <w:szCs w:val="10"/>
        </w:rPr>
        <w:t>-obszary chronione będące jednolitymi częściami wód, przeznaczonymi do poboru wody na potrzeby zaopatrzenia ludności w wodę przeznaczoną do spożycia,</w:t>
      </w:r>
    </w:p>
    <w:p>
      <w:pPr>
        <w:pStyle w:val="Normal"/>
        <w:ind w:hanging="0"/>
        <w:rPr>
          <w:rFonts w:ascii="Arial" w:hAnsi="Arial" w:cs="Arial"/>
          <w:i/>
          <w:i/>
          <w:sz w:val="10"/>
          <w:szCs w:val="10"/>
        </w:rPr>
      </w:pPr>
      <w:r>
        <w:rPr>
          <w:rFonts w:cs="Arial" w:ascii="Arial" w:hAnsi="Arial"/>
          <w:i/>
          <w:sz w:val="10"/>
          <w:szCs w:val="10"/>
          <w:vertAlign w:val="superscript"/>
        </w:rPr>
        <w:t>2</w:t>
      </w:r>
      <w:r>
        <w:rPr>
          <w:rFonts w:cs="Arial" w:ascii="Arial" w:hAnsi="Arial"/>
          <w:i/>
          <w:sz w:val="10"/>
          <w:szCs w:val="10"/>
        </w:rPr>
        <w:t>- obszary chronione wrażliwe na eutrofizację wywołaną zanieczyszczeniami pochodzącymi   ze źródeł komunalnych,</w:t>
      </w:r>
    </w:p>
    <w:p>
      <w:pPr>
        <w:pStyle w:val="Normal"/>
        <w:ind w:hanging="0"/>
        <w:rPr>
          <w:rFonts w:ascii="Arial" w:hAnsi="Arial" w:cs="Arial"/>
          <w:i/>
          <w:i/>
          <w:sz w:val="10"/>
          <w:szCs w:val="10"/>
        </w:rPr>
      </w:pPr>
      <w:r>
        <w:rPr>
          <w:rFonts w:cs="Arial" w:ascii="Arial" w:hAnsi="Arial"/>
          <w:i/>
          <w:sz w:val="10"/>
          <w:szCs w:val="10"/>
          <w:vertAlign w:val="superscript"/>
        </w:rPr>
        <w:t>3</w:t>
      </w:r>
      <w:r>
        <w:rPr>
          <w:rFonts w:cs="Arial" w:ascii="Arial" w:hAnsi="Arial"/>
          <w:i/>
          <w:sz w:val="10"/>
          <w:szCs w:val="10"/>
        </w:rPr>
        <w:t>- MOEU - obszary chronione wrażliwe na eutrofizację wywołaną zanieczyszczeniami pochodzącymi ze źródeł komunalnych.</w:t>
      </w:r>
    </w:p>
    <w:p>
      <w:pPr>
        <w:pStyle w:val="Normal"/>
        <w:spacing w:lineRule="auto" w:line="360"/>
        <w:rPr>
          <w:rStyle w:val="Strong"/>
          <w:b w:val="false"/>
          <w:b w:val="false"/>
          <w:shd w:fill="FFFFFF" w:val="clear"/>
        </w:rPr>
      </w:pPr>
      <w:r>
        <w:rPr>
          <w:b w:val="false"/>
          <w:shd w:fill="FFFFFF" w:val="clear"/>
        </w:rPr>
      </w:r>
    </w:p>
    <w:p>
      <w:pPr>
        <w:pStyle w:val="Caption"/>
        <w:keepNext/>
        <w:jc w:val="left"/>
        <w:rPr/>
      </w:pPr>
      <w:r>
        <w:rPr/>
        <w:t xml:space="preserve">Tabela </w:t>
      </w:r>
      <w:r>
        <w:rPr/>
        <w:fldChar w:fldCharType="begin"/>
      </w:r>
      <w:r>
        <w:instrText> SEQ Tabela \* ARABIC </w:instrText>
      </w:r>
      <w:r>
        <w:fldChar w:fldCharType="separate"/>
      </w:r>
      <w:r>
        <w:t>12</w:t>
      </w:r>
      <w:r>
        <w:fldChar w:fldCharType="end"/>
      </w:r>
      <w:r>
        <w:rPr/>
        <w:t>.</w:t>
      </w:r>
      <w:r>
        <w:rPr>
          <w:b w:val="false"/>
        </w:rPr>
        <w:t xml:space="preserve"> Klasyfikacja stanu/potencjału ekologicznego i stanu chemicznego JCWP Soła - wpływ do zbiornika Tresna wykonana na podstawie badań prowadzonych w 2016 (WIOŚ Katowice)</w:t>
      </w:r>
    </w:p>
    <w:tbl>
      <w:tblPr>
        <w:tblW w:w="4950" w:type="pct"/>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65" w:type="dxa"/>
          <w:bottom w:w="0" w:type="dxa"/>
          <w:right w:w="70" w:type="dxa"/>
        </w:tblCellMar>
        <w:tblLook w:firstRow="1" w:noVBand="1" w:lastRow="0" w:firstColumn="1" w:lastColumn="0" w:noHBand="0" w:val="04a0"/>
      </w:tblPr>
      <w:tblGrid>
        <w:gridCol w:w="984"/>
        <w:gridCol w:w="896"/>
        <w:gridCol w:w="1015"/>
        <w:gridCol w:w="1009"/>
        <w:gridCol w:w="673"/>
        <w:gridCol w:w="651"/>
        <w:gridCol w:w="730"/>
        <w:gridCol w:w="806"/>
        <w:gridCol w:w="970"/>
        <w:gridCol w:w="976"/>
        <w:gridCol w:w="1018"/>
        <w:gridCol w:w="931"/>
        <w:gridCol w:w="806"/>
        <w:gridCol w:w="1562"/>
        <w:gridCol w:w="1116"/>
      </w:tblGrid>
      <w:tr>
        <w:trPr>
          <w:trHeight w:val="78" w:hRule="atLeast"/>
        </w:trPr>
        <w:tc>
          <w:tcPr>
            <w:tcW w:w="98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5" w:type="dxa"/>
            </w:tcMar>
            <w:vAlign w:val="center"/>
          </w:tcPr>
          <w:p>
            <w:pPr>
              <w:pStyle w:val="Normal"/>
              <w:spacing w:before="40" w:after="40"/>
              <w:ind w:hanging="0"/>
              <w:jc w:val="center"/>
              <w:rPr>
                <w:rFonts w:ascii="Arial" w:hAnsi="Arial" w:cs="Arial"/>
                <w:sz w:val="10"/>
                <w:szCs w:val="10"/>
              </w:rPr>
            </w:pPr>
            <w:r>
              <w:rPr>
                <w:rFonts w:cs="Arial" w:ascii="Arial" w:hAnsi="Arial"/>
                <w:sz w:val="10"/>
                <w:szCs w:val="10"/>
              </w:rPr>
              <w:t>Nazwa ocenianej jcw</w:t>
            </w:r>
          </w:p>
        </w:tc>
        <w:tc>
          <w:tcPr>
            <w:tcW w:w="89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Kod ocenianej jcw</w:t>
            </w:r>
          </w:p>
        </w:tc>
        <w:tc>
          <w:tcPr>
            <w:tcW w:w="1015"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Kod reprezentatywnego punktu pomiarowo-kontrolnego</w:t>
            </w:r>
          </w:p>
        </w:tc>
        <w:tc>
          <w:tcPr>
            <w:tcW w:w="1009"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Nazwa reprezentatywnego punktu pomiarowo-kontrolnego</w:t>
            </w:r>
          </w:p>
        </w:tc>
        <w:tc>
          <w:tcPr>
            <w:tcW w:w="673"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Typ abiotyczny</w:t>
            </w:r>
          </w:p>
        </w:tc>
        <w:tc>
          <w:tcPr>
            <w:tcW w:w="651"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Silnie zmieniona lub sztuczna jcw (T/N)</w:t>
            </w:r>
          </w:p>
        </w:tc>
        <w:tc>
          <w:tcPr>
            <w:tcW w:w="730"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Program monitoringu (MD, MO lub MB)</w:t>
            </w:r>
          </w:p>
        </w:tc>
        <w:tc>
          <w:tcPr>
            <w:tcW w:w="80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biologicznych</w:t>
            </w:r>
          </w:p>
        </w:tc>
        <w:tc>
          <w:tcPr>
            <w:tcW w:w="970"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hydromorfolo-gicznych</w:t>
            </w:r>
          </w:p>
        </w:tc>
        <w:tc>
          <w:tcPr>
            <w:tcW w:w="97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 xml:space="preserve">Klasa elementów fizykochemicznych </w:t>
            </w:r>
          </w:p>
        </w:tc>
        <w:tc>
          <w:tcPr>
            <w:tcW w:w="101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fizykochemicznych - specyficzne zanieczyszczenia syntetyczne i niesyntetyczne</w:t>
            </w:r>
          </w:p>
        </w:tc>
        <w:tc>
          <w:tcPr>
            <w:tcW w:w="931"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Stan/potencjał ekologiczny</w:t>
            </w:r>
          </w:p>
        </w:tc>
        <w:tc>
          <w:tcPr>
            <w:tcW w:w="80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Czy jcw występuje na obszarze chronionym? (TAK/NIE)</w:t>
            </w:r>
          </w:p>
        </w:tc>
        <w:tc>
          <w:tcPr>
            <w:tcW w:w="156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Czy we wszystkich ppk MOC stwierdzono spełnienie wymagań dodatkowych? (TAK/NIE/NIE DOTYCZY)</w:t>
            </w:r>
          </w:p>
        </w:tc>
        <w:tc>
          <w:tcPr>
            <w:tcW w:w="111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 CHEMICZNY</w:t>
            </w:r>
          </w:p>
        </w:tc>
      </w:tr>
      <w:tr>
        <w:trPr>
          <w:trHeight w:val="230" w:hRule="atLeast"/>
        </w:trPr>
        <w:tc>
          <w:tcPr>
            <w:tcW w:w="98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5" w:type="dxa"/>
            </w:tcMar>
            <w:vAlign w:val="center"/>
          </w:tcPr>
          <w:p>
            <w:pPr>
              <w:pStyle w:val="Normal"/>
              <w:spacing w:before="40" w:after="40"/>
              <w:ind w:hanging="0"/>
              <w:jc w:val="left"/>
              <w:rPr>
                <w:rFonts w:ascii="Arial" w:hAnsi="Arial" w:cs="Arial"/>
                <w:sz w:val="10"/>
                <w:szCs w:val="10"/>
              </w:rPr>
            </w:pPr>
            <w:r>
              <w:rPr>
                <w:rFonts w:cs="Arial" w:ascii="Arial" w:hAnsi="Arial"/>
                <w:sz w:val="10"/>
                <w:szCs w:val="10"/>
              </w:rPr>
              <w:t>Soła od Wody Ujsolskiej do Zbiornika Tresna</w:t>
            </w:r>
          </w:p>
        </w:tc>
        <w:tc>
          <w:tcPr>
            <w:tcW w:w="89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PLRW200014213259</w:t>
            </w:r>
          </w:p>
        </w:tc>
        <w:tc>
          <w:tcPr>
            <w:tcW w:w="1015"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PL01S1301_1727</w:t>
            </w:r>
          </w:p>
        </w:tc>
        <w:tc>
          <w:tcPr>
            <w:tcW w:w="1009"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 xml:space="preserve">Soła - wpływ do zbiornika Tresna </w:t>
            </w:r>
          </w:p>
        </w:tc>
        <w:tc>
          <w:tcPr>
            <w:tcW w:w="673"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14</w:t>
            </w:r>
          </w:p>
        </w:tc>
        <w:tc>
          <w:tcPr>
            <w:tcW w:w="651"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nat</w:t>
            </w:r>
          </w:p>
        </w:tc>
        <w:tc>
          <w:tcPr>
            <w:tcW w:w="730"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Default"/>
              <w:spacing w:before="40" w:after="40"/>
              <w:jc w:val="center"/>
              <w:rPr>
                <w:sz w:val="10"/>
                <w:szCs w:val="10"/>
              </w:rPr>
            </w:pPr>
            <w:r>
              <w:rPr>
                <w:sz w:val="10"/>
                <w:szCs w:val="10"/>
              </w:rPr>
              <w:t>MD, MO, MOEU</w:t>
            </w:r>
          </w:p>
        </w:tc>
        <w:tc>
          <w:tcPr>
            <w:tcW w:w="806"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FF00"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III</w:t>
            </w:r>
          </w:p>
        </w:tc>
        <w:tc>
          <w:tcPr>
            <w:tcW w:w="970"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FF00"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II</w:t>
            </w:r>
          </w:p>
        </w:tc>
        <w:tc>
          <w:tcPr>
            <w:tcW w:w="976"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0000"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PSD</w:t>
            </w:r>
          </w:p>
        </w:tc>
        <w:tc>
          <w:tcPr>
            <w:tcW w:w="1018"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FF00"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II</w:t>
            </w:r>
          </w:p>
        </w:tc>
        <w:tc>
          <w:tcPr>
            <w:tcW w:w="931"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C000"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UMIARKOWANY</w:t>
            </w:r>
          </w:p>
        </w:tc>
        <w:tc>
          <w:tcPr>
            <w:tcW w:w="80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w:t>
            </w:r>
          </w:p>
        </w:tc>
        <w:tc>
          <w:tcPr>
            <w:tcW w:w="156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b/>
                <w:b/>
                <w:sz w:val="10"/>
                <w:szCs w:val="10"/>
              </w:rPr>
            </w:pPr>
            <w:r>
              <w:rPr>
                <w:rFonts w:cs="Arial" w:ascii="Arial" w:hAnsi="Arial"/>
                <w:b/>
                <w:sz w:val="10"/>
                <w:szCs w:val="10"/>
              </w:rPr>
              <w:t>NIE</w:t>
            </w:r>
          </w:p>
        </w:tc>
        <w:tc>
          <w:tcPr>
            <w:tcW w:w="1116"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0000" w:val="clear"/>
            <w:vAlign w:val="center"/>
          </w:tcPr>
          <w:p>
            <w:pPr>
              <w:pStyle w:val="Normal"/>
              <w:spacing w:before="40" w:after="40"/>
              <w:ind w:hanging="0"/>
              <w:jc w:val="center"/>
              <w:rPr>
                <w:rFonts w:ascii="Arial" w:hAnsi="Arial" w:cs="Arial"/>
                <w:sz w:val="10"/>
                <w:szCs w:val="10"/>
                <w:lang w:val="en-US"/>
              </w:rPr>
            </w:pPr>
            <w:r>
              <w:rPr>
                <w:rFonts w:cs="Arial" w:ascii="Arial" w:hAnsi="Arial"/>
                <w:b/>
                <w:bCs/>
                <w:sz w:val="10"/>
                <w:szCs w:val="10"/>
                <w:lang w:val="en-US"/>
              </w:rPr>
              <w:t>PSD_sr</w:t>
            </w:r>
            <w:r>
              <w:rPr>
                <w:rFonts w:cs="Arial" w:ascii="Arial" w:hAnsi="Arial"/>
                <w:sz w:val="10"/>
                <w:szCs w:val="10"/>
                <w:lang w:val="en-US"/>
              </w:rPr>
              <w:br/>
              <w:t>Benzo(g,h,i)perylen</w:t>
              <w:br/>
              <w:t xml:space="preserve">Indeno(1,2,3-cd)piren </w:t>
            </w:r>
          </w:p>
        </w:tc>
      </w:tr>
    </w:tbl>
    <w:p>
      <w:pPr>
        <w:sectPr>
          <w:headerReference w:type="even" r:id="rId38"/>
          <w:headerReference w:type="default" r:id="rId39"/>
          <w:footerReference w:type="even" r:id="rId40"/>
          <w:footerReference w:type="default" r:id="rId41"/>
          <w:footnotePr>
            <w:numFmt w:val="decimal"/>
          </w:footnotePr>
          <w:type w:val="nextPage"/>
          <w:pgSz w:orient="landscape" w:w="16838" w:h="11906"/>
          <w:pgMar w:left="1418" w:right="1134" w:header="709" w:top="1418" w:footer="709" w:bottom="1418" w:gutter="0"/>
          <w:pgNumType w:fmt="decimal"/>
          <w:formProt w:val="false"/>
          <w:textDirection w:val="lrTb"/>
          <w:docGrid w:type="default" w:linePitch="360" w:charSpace="4294961151"/>
        </w:sectPr>
      </w:pPr>
    </w:p>
    <w:p>
      <w:pPr>
        <w:pStyle w:val="Normal"/>
        <w:ind w:hanging="0"/>
        <w:jc w:val="center"/>
        <w:rPr>
          <w:rStyle w:val="Strong"/>
          <w:highlight w:val="white"/>
        </w:rPr>
      </w:pPr>
      <w:r>
        <w:rPr/>
        <w:drawing>
          <wp:inline distT="19050" distB="8890" distL="19050" distR="0">
            <wp:extent cx="5676900" cy="3210560"/>
            <wp:effectExtent l="0" t="0" r="0" b="0"/>
            <wp:docPr id="31" name="Obraz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20" descr=""/>
                    <pic:cNvPicPr>
                      <a:picLocks noChangeAspect="1" noChangeArrowheads="1"/>
                    </pic:cNvPicPr>
                  </pic:nvPicPr>
                  <pic:blipFill>
                    <a:blip r:embed="rId42"/>
                    <a:stretch>
                      <a:fillRect/>
                    </a:stretch>
                  </pic:blipFill>
                  <pic:spPr bwMode="auto">
                    <a:xfrm>
                      <a:off x="0" y="0"/>
                      <a:ext cx="5676900" cy="3210560"/>
                    </a:xfrm>
                    <a:prstGeom prst="rect">
                      <a:avLst/>
                    </a:prstGeom>
                    <a:ln w="9525">
                      <a:solidFill>
                        <a:srgbClr val="5B9BD5"/>
                      </a:solidFill>
                    </a:ln>
                  </pic:spPr>
                </pic:pic>
              </a:graphicData>
            </a:graphic>
          </wp:inline>
        </w:drawing>
      </w:r>
    </w:p>
    <w:p>
      <w:pPr>
        <w:pStyle w:val="Normal"/>
        <w:spacing w:before="120" w:after="120"/>
        <w:ind w:hanging="0"/>
        <w:jc w:val="center"/>
        <w:rPr/>
      </w:pPr>
      <w:r>
        <w:rPr>
          <w:b/>
          <w:i/>
          <w:sz w:val="22"/>
        </w:rPr>
        <w:t xml:space="preserve">Rysunek </w:t>
      </w:r>
      <w:r>
        <w:rPr>
          <w:b/>
          <w:i/>
          <w:sz w:val="22"/>
        </w:rPr>
        <w:fldChar w:fldCharType="begin"/>
      </w:r>
      <w:r>
        <w:instrText> SEQ Rysunek \* ARABIC </w:instrText>
      </w:r>
      <w:r>
        <w:fldChar w:fldCharType="separate"/>
      </w:r>
      <w:r>
        <w:t>21</w:t>
      </w:r>
      <w:r>
        <w:fldChar w:fldCharType="end"/>
      </w:r>
      <w:r>
        <w:rPr>
          <w:b/>
          <w:i/>
          <w:sz w:val="22"/>
        </w:rPr>
        <w:t>.</w:t>
      </w:r>
      <w:r>
        <w:rPr>
          <w:i/>
          <w:sz w:val="22"/>
        </w:rPr>
        <w:t xml:space="preserve"> Ocena stanu jednolitych części wód powierzchniowych województwa śląskiego w 2015 roku (źródło: Stan środowiska w województwie śląskim w 2015 r.)</w:t>
      </w:r>
    </w:p>
    <w:p>
      <w:pPr>
        <w:pStyle w:val="Normal"/>
        <w:rPr/>
      </w:pPr>
      <w:r>
        <w:rPr/>
      </w:r>
    </w:p>
    <w:p>
      <w:pPr>
        <w:pStyle w:val="Nagwek3"/>
        <w:numPr>
          <w:ilvl w:val="2"/>
          <w:numId w:val="2"/>
        </w:numPr>
        <w:ind w:hanging="851"/>
        <w:rPr/>
      </w:pPr>
      <w:bookmarkStart w:id="46" w:name="_Toc518331308"/>
      <w:bookmarkEnd w:id="46"/>
      <w:r>
        <w:rPr/>
        <w:t>Ochrona wód</w:t>
      </w:r>
    </w:p>
    <w:p>
      <w:pPr>
        <w:pStyle w:val="Normal"/>
        <w:rPr/>
      </w:pPr>
      <w:r>
        <w:rPr/>
        <w:t xml:space="preserve">Art. 51 ustawy </w:t>
      </w:r>
      <w:r>
        <w:rPr>
          <w:i/>
        </w:rPr>
        <w:t>Prawo wodne</w:t>
      </w:r>
      <w:r>
        <w:rPr/>
        <w:t xml:space="preserve"> stanowi, iż celem ochrony wód jest osiągnięcie celów środowiskowych dla jednolitych części wód powierzchniowych, jednolitych części wód podziemnych oraz obszarów chronionych, a także poprawa jakości wód oraz biologicznych stosunków w środowisku wodnym i na terenach podmokłych. Ochrona wód podziemnych i powierzchniowych jest realizowana w szczególności z uwzględnieniem wyników oceny stanu wód. Ocena stanu wód podziemnych obejmuje ocenę stanu ilościowego wód podziemnych lub stanu chemicznego tych wód, dokonywane w ramach oceny stanu jednolitych części tych wód zgodnie z przepisami wydanymi na podstawie art. 53 ust. 1 wyżej wymienionej ustawy. Ocena stanu wód powierzchniowych obejmuje klasyfikację stanu ekologicznego, potencjału ekologicznego i stanu chemicznego tych wód, dokonywane zgodnie z przepisami wydanymi na podstawie art. 53 ust. 4 ustawy.</w:t>
      </w:r>
    </w:p>
    <w:p>
      <w:pPr>
        <w:pStyle w:val="Normal"/>
        <w:rPr/>
      </w:pPr>
      <w:r>
        <w:rPr/>
      </w:r>
    </w:p>
    <w:p>
      <w:pPr>
        <w:pStyle w:val="Nagwek4"/>
        <w:numPr>
          <w:ilvl w:val="3"/>
          <w:numId w:val="2"/>
        </w:numPr>
        <w:ind w:hanging="992"/>
        <w:rPr/>
      </w:pPr>
      <w:r>
        <w:rPr/>
        <w:t xml:space="preserve">Ochrona wód podziemnych i zbiorników wód podziemnych  </w:t>
      </w:r>
    </w:p>
    <w:p>
      <w:pPr>
        <w:pStyle w:val="Normal"/>
        <w:rPr/>
      </w:pPr>
      <w:r>
        <w:rPr/>
        <w:t>Na analizowanym obszarze ochronie podlega JCWPp nr 158, a także LZWP Dolina rzeki Soły jako obszar ONO. Obszary ochronne zbiorników wód śródlądowych stanowią obszary, na których obowiązują zakazy, nakazy oraz ograniczenia w zakresie użytkowania gruntów lub korzystania z wody w celu ochrony zasobów tych wód przed degradacją. Obszary te są ustanawiane przez dyrektora RZGW w drodze aktu prawa miejscowego na podstawie planu gospodarowania wodami na obszarze dorzecza. Obszary ochronne powinny zostać ustanowione m.in. dla głównych zbiorników wód podziemnych w celu ochrony ich zasobów. Granice obszarów ochronnych GZWP są wyznaczane, w oparciu o badania hydrogeologiczne, przez autorów dokumentacji hydrogeologicznych poszczególnych zbiorników. Dotychczas opracowano 12 dokumentacji dla GZWP położonych w obszarze województwa śląskiego, w których wyznaczono granice ich obszarów ochronnych. Do tej pory jednak w województwie nie ustanowiono żadnego obszaru ochronnego tego typu w drodze aktu prawa miejscowego.</w:t>
      </w:r>
    </w:p>
    <w:p>
      <w:pPr>
        <w:pStyle w:val="Normal"/>
        <w:rPr/>
      </w:pPr>
      <w:r>
        <w:rPr/>
        <w:t xml:space="preserve">Zgodnie z art. 140 ustawy Prawo wodne na obszarach ochronnych </w:t>
      </w:r>
      <w:r>
        <w:rPr>
          <w:b/>
        </w:rPr>
        <w:t>może być</w:t>
      </w:r>
      <w:r>
        <w:rPr/>
        <w:t xml:space="preserve"> zakazane lub ograniczone wykonywanie robót lub czynności, które mogą spowodować trwałe zanieczyszczenie gruntów lub wód, obejmujących m.in.:</w:t>
      </w:r>
    </w:p>
    <w:p>
      <w:pPr>
        <w:pStyle w:val="Normal"/>
        <w:numPr>
          <w:ilvl w:val="0"/>
          <w:numId w:val="62"/>
        </w:numPr>
        <w:rPr/>
      </w:pPr>
      <w:r>
        <w:rPr/>
        <w:t>wprowadzanie ścieków do wód lub do ziemi;</w:t>
      </w:r>
    </w:p>
    <w:p>
      <w:pPr>
        <w:pStyle w:val="Normal"/>
        <w:numPr>
          <w:ilvl w:val="0"/>
          <w:numId w:val="62"/>
        </w:numPr>
        <w:rPr/>
      </w:pPr>
      <w:r>
        <w:rPr/>
        <w:t>rolnicze wykorzystanie ścieków;</w:t>
      </w:r>
    </w:p>
    <w:p>
      <w:pPr>
        <w:pStyle w:val="Normal"/>
        <w:numPr>
          <w:ilvl w:val="0"/>
          <w:numId w:val="62"/>
        </w:numPr>
        <w:rPr/>
      </w:pPr>
      <w:r>
        <w:rPr/>
        <w:t>przechowywanie lub składowanie odpadów promieniotwórczych;</w:t>
      </w:r>
    </w:p>
    <w:p>
      <w:pPr>
        <w:pStyle w:val="Normal"/>
        <w:numPr>
          <w:ilvl w:val="0"/>
          <w:numId w:val="62"/>
        </w:numPr>
        <w:rPr/>
      </w:pPr>
      <w:r>
        <w:rPr/>
        <w:t>stosowanie nawozów oraz środków ochrony roślin;</w:t>
      </w:r>
    </w:p>
    <w:p>
      <w:pPr>
        <w:pStyle w:val="Normal"/>
        <w:numPr>
          <w:ilvl w:val="0"/>
          <w:numId w:val="62"/>
        </w:numPr>
        <w:rPr/>
      </w:pPr>
      <w:r>
        <w:rPr/>
        <w:t>budowę nowych dróg, linii kolejowych, lotnisk lub lądowisk;</w:t>
      </w:r>
    </w:p>
    <w:p>
      <w:pPr>
        <w:pStyle w:val="Normal"/>
        <w:numPr>
          <w:ilvl w:val="0"/>
          <w:numId w:val="62"/>
        </w:numPr>
        <w:rPr/>
      </w:pPr>
      <w:r>
        <w:rPr/>
        <w:t>lokalizowanie zakładów przemysłowych oraz ferm chowu lub hodowli zwierząt;</w:t>
      </w:r>
    </w:p>
    <w:p>
      <w:pPr>
        <w:pStyle w:val="Normal"/>
        <w:numPr>
          <w:ilvl w:val="0"/>
          <w:numId w:val="62"/>
        </w:numPr>
        <w:rPr/>
      </w:pPr>
      <w:r>
        <w:rPr/>
        <w:t>lokalizowanie magazynów produktów ropopochodnych oraz innych substancji, a także rurociągów do ich transportu;</w:t>
      </w:r>
    </w:p>
    <w:p>
      <w:pPr>
        <w:pStyle w:val="Normal"/>
        <w:numPr>
          <w:ilvl w:val="0"/>
          <w:numId w:val="62"/>
        </w:numPr>
        <w:rPr/>
      </w:pPr>
      <w:r>
        <w:rPr/>
        <w:t>lokalizowanie składowisk odpadów niebezpiecznych, innych niż niebezpieczne i obojętne oraz obojętnych;</w:t>
      </w:r>
    </w:p>
    <w:p>
      <w:pPr>
        <w:pStyle w:val="Normal"/>
        <w:numPr>
          <w:ilvl w:val="0"/>
          <w:numId w:val="62"/>
        </w:numPr>
        <w:rPr/>
      </w:pPr>
      <w:r>
        <w:rPr/>
        <w:t>mycie pojazdów mechanicznych;</w:t>
      </w:r>
    </w:p>
    <w:p>
      <w:pPr>
        <w:pStyle w:val="Normal"/>
        <w:numPr>
          <w:ilvl w:val="0"/>
          <w:numId w:val="62"/>
        </w:numPr>
        <w:rPr/>
      </w:pPr>
      <w:r>
        <w:rPr/>
        <w:t>urządzanie parkingów, obozowisk oraz kąpielisk i miejsc okazjonalnie wykorzystywanych do kąpieli;</w:t>
      </w:r>
    </w:p>
    <w:p>
      <w:pPr>
        <w:pStyle w:val="Normal"/>
        <w:numPr>
          <w:ilvl w:val="0"/>
          <w:numId w:val="62"/>
        </w:numPr>
        <w:rPr/>
      </w:pPr>
      <w:r>
        <w:rPr/>
        <w:t>wykonywanie odwodnień budowlanych lub górniczych;</w:t>
      </w:r>
    </w:p>
    <w:p>
      <w:pPr>
        <w:pStyle w:val="Normal"/>
        <w:numPr>
          <w:ilvl w:val="0"/>
          <w:numId w:val="62"/>
        </w:numPr>
        <w:rPr/>
      </w:pPr>
      <w:r>
        <w:rPr/>
        <w:t>lokalizowanie nowych przedsięwzięć mogących znacząco oddziaływać na środowisko;</w:t>
      </w:r>
    </w:p>
    <w:p>
      <w:pPr>
        <w:pStyle w:val="Normal"/>
        <w:numPr>
          <w:ilvl w:val="0"/>
          <w:numId w:val="62"/>
        </w:numPr>
        <w:rPr/>
      </w:pPr>
      <w:r>
        <w:rPr/>
        <w:t>składowanie opakowań po nawozach i środkach ochrony roślin;</w:t>
      </w:r>
    </w:p>
    <w:p>
      <w:pPr>
        <w:pStyle w:val="Normal"/>
        <w:numPr>
          <w:ilvl w:val="0"/>
          <w:numId w:val="62"/>
        </w:numPr>
        <w:rPr>
          <w:u w:val="single"/>
        </w:rPr>
      </w:pPr>
      <w:r>
        <w:rPr/>
        <w:t>stosowanie i składowanie chemicznych środków zimowego utrzymania dróg.</w:t>
      </w:r>
      <w:r>
        <w:rPr>
          <w:u w:val="single"/>
        </w:rPr>
        <w:t xml:space="preserve"> </w:t>
      </w:r>
    </w:p>
    <w:p>
      <w:pPr>
        <w:pStyle w:val="Normal"/>
        <w:rPr/>
      </w:pPr>
      <w:r>
        <w:rPr/>
        <w:t>Z powyższego wynika, że w związku z ustanowienie obszaru ochronnego LZWP Dolina rzeki Soły w drodze aktu prawa miejscowego może zostać zawarty zakaz lokalizowania na analizowanym terenie nowych przedsięwzięć mogących znacząco oddziaływać na środowisko. Taka sytuacja oznaczałaby brak możliwości realizacji planowanego przedsięwzięcia. Na dzień dzisiejszy nie ma prawnie wiążących rozstrzygnięć w tym zakresie.</w:t>
      </w:r>
    </w:p>
    <w:p>
      <w:pPr>
        <w:pStyle w:val="Normal"/>
        <w:rPr/>
      </w:pPr>
      <w:r>
        <w:rPr/>
        <w:t>Cele środowiskowe rozumiane jako osiągnięcie i utrzymanie dobrego stanu wód podziemnych, w tym dobrego stanu ilościowego i dobrego stanu chemicznego, a także zapobieganie ich pogorszeniu, w szczególności w odniesieniu do ekosystemów wodnych i innych ekosystemów zależnych od wód, określa się dla jednolitych części wód podziemnych (art. 55 ustawy).</w:t>
      </w:r>
    </w:p>
    <w:p>
      <w:pPr>
        <w:pStyle w:val="Normal"/>
        <w:rPr/>
      </w:pPr>
      <w:r>
        <w:rPr/>
        <w:t>Celem środowiskowym dla jednolitych części wód podziemnych jest:</w:t>
      </w:r>
    </w:p>
    <w:p>
      <w:pPr>
        <w:pStyle w:val="Normal"/>
        <w:numPr>
          <w:ilvl w:val="0"/>
          <w:numId w:val="66"/>
        </w:numPr>
        <w:rPr/>
      </w:pPr>
      <w:r>
        <w:rPr/>
        <w:t>zapobieganie lub ograniczanie wprowadzania do nich zanieczyszczeń;</w:t>
      </w:r>
    </w:p>
    <w:p>
      <w:pPr>
        <w:pStyle w:val="Normal"/>
        <w:numPr>
          <w:ilvl w:val="0"/>
          <w:numId w:val="66"/>
        </w:numPr>
        <w:rPr/>
      </w:pPr>
      <w:r>
        <w:rPr/>
        <w:t>zapobieganie pogorszeniu oraz poprawa ich stanu;</w:t>
      </w:r>
    </w:p>
    <w:p>
      <w:pPr>
        <w:pStyle w:val="Normal"/>
        <w:numPr>
          <w:ilvl w:val="0"/>
          <w:numId w:val="66"/>
        </w:numPr>
        <w:rPr/>
      </w:pPr>
      <w:r>
        <w:rPr/>
        <w:t>ich ochrona i podejmowanie działań naprawczych, a także zapewnianie równowagi między poborem, a zasilaniem tych wód, tak aby osiągnąć ich dobry stan. (art. 59 ustawy Prawo wodne).</w:t>
      </w:r>
    </w:p>
    <w:p>
      <w:pPr>
        <w:pStyle w:val="Default"/>
        <w:spacing w:lineRule="auto" w:line="360"/>
        <w:jc w:val="both"/>
        <w:rPr>
          <w:rFonts w:ascii="Times New Roman" w:hAnsi="Times New Roman" w:cs="Times New Roman"/>
          <w:sz w:val="22"/>
          <w:szCs w:val="22"/>
        </w:rPr>
      </w:pPr>
      <w:r>
        <w:rPr>
          <w:rFonts w:cs="Times New Roman" w:ascii="Times New Roman" w:hAnsi="Times New Roman"/>
          <w:sz w:val="22"/>
          <w:szCs w:val="22"/>
        </w:rPr>
      </w:r>
    </w:p>
    <w:p>
      <w:pPr>
        <w:pStyle w:val="Nagwek5"/>
        <w:numPr>
          <w:ilvl w:val="4"/>
          <w:numId w:val="2"/>
        </w:numPr>
        <w:ind w:hanging="1077"/>
        <w:rPr/>
      </w:pPr>
      <w:r>
        <w:rPr/>
        <w:t>Ochrona ujęć wód powierzchniowych i podziemnych</w:t>
      </w:r>
    </w:p>
    <w:p>
      <w:pPr>
        <w:pStyle w:val="Normal"/>
        <w:rPr/>
      </w:pPr>
      <w:r>
        <w:rPr/>
        <w:t xml:space="preserve">Na terenie miasta Żywiec znajduje się szereg ujęć wód powierzchniowych i podziemnych, a ich wykorzystanie jest zróżnicowane np. zaopatrzenie zakładów w wodę przemysłową czy pitną. </w:t>
      </w:r>
      <w:r>
        <w:rPr>
          <w:u w:val="single"/>
        </w:rPr>
        <w:t>Spośród nich tylko dla jednego ujęcia wyznaczone zostały strefy ochrony bezpośredniej i pośredniej</w:t>
      </w:r>
      <w:r>
        <w:rPr/>
        <w:t xml:space="preserve">. Powierzchniowe ujęcie wody na rzece Koszarawie w km 4,34 użytkowane jest przez Miejskie Przedsiębiorstwo Wodociągów i Kanalizacji Sp. z o.o. w Żywcu na podstawie decyzji WOŚ.6341.08.2011 z dnia 2011-07-15 i służy zaopatrzeniu ludności w wodę. </w:t>
      </w:r>
    </w:p>
    <w:p>
      <w:pPr>
        <w:pStyle w:val="Normal"/>
        <w:rPr/>
      </w:pPr>
      <w:r>
        <w:rPr/>
        <w:t>Strefy ochronne oraz zakazy w nich obowiązujące ustala Rozporządzenie Dyrektora RZGW w Krakowie nr 27/2012 z dnia 27 grudnia 2012 r. zmienione  Rozporządzeniem Dyrektora Regionalnego Zarządu Gospodarki Wodnej w Krakowie z dnia 25 stycznia 2017 r. zmieniającym rozporządzenie w sprawie ustanowienia strefy ochronnej dla ujęcia wody powierzchniowej z rzeki Koszarawy dla aglomeracji żywieckiej na potrzeby Miejskiego Przedsiębiorstwa Wodociągów i Kanalizacji Sp. z o.o. w Żywcu. Rozporządzenie otrzymuje brzmienie: „W sprawie ustanowienia strefy ochronnej ujęcia wody powierzchniowej z rzeki Koszarawy w miejscowości Żywiec, gmina Żywiec, powiat żywiecki”.</w:t>
      </w:r>
    </w:p>
    <w:p>
      <w:pPr>
        <w:pStyle w:val="Normal"/>
        <w:rPr/>
      </w:pPr>
      <w:r>
        <w:rPr/>
        <w:t xml:space="preserve">Strefa bezpośrednia strefy ochrony sanitarnej dla ujęcia brzegowego na prawym brzegu Koszarawy w km 4,340 obejmuje jaz na rzece Koszarawie, kanał Młynówki Okrężnej do torów PKP, teren na prawym brzegu powyżej kraty wlotowej, pas terenu na lewym brzegu. Teren ochrony pośredniej o łącznej powierzchni około 23 000 ha, obejmuje całą zlewnię rzeki Koszarawy od źródeł rzeki do przekroju ujęcia wody w km 4+340 w Żywcu wraz z dopływami. Strefy ochronne oraz zakazy w nich obowiązujące ustala na dzień dzisiejszy Rozporządzenie Dyrektora RZGW w Krakowie nr 27/2012 z dnia 27 grudnia 2012 r. </w:t>
      </w:r>
    </w:p>
    <w:p>
      <w:pPr>
        <w:pStyle w:val="Normal"/>
        <w:rPr/>
      </w:pPr>
      <w:r>
        <w:rPr/>
        <w:t xml:space="preserve">Wszystkie pozostałe ujęcia zostały pozbawione stref ochronnych pismem Regionalnego Dyrektora Gospodarki Wodnej w Krakowie znak ZG-5040-9/11z dnia 25.02.2011 r. dotyczącym stref ochronnych ujęć wody ustanowionych przed dniem 1 stycznia 2002 r. W związku ze zmianą przepisów prawa dotyczącą stanu prawnego stref ochronnych ujęć wody ustanowionych przed dniem 1 stycznia 2002 r. Dyrektor RZGW w Krakowie poinformował, że zgodnie z </w:t>
      </w:r>
      <w:r>
        <w:rPr>
          <w:i/>
        </w:rPr>
        <w:t>art. 21 ust. 1 ustawy z dnia 5 stycznia 2011 r. o zmianie ustawy – Prawo  wodne oraz niektórych innych ustaw</w:t>
      </w:r>
      <w:r>
        <w:rPr/>
        <w:t xml:space="preserve"> (Dz. U. 2011.32.159) </w:t>
      </w:r>
      <w:r>
        <w:rPr>
          <w:u w:val="single"/>
        </w:rPr>
        <w:t>strefy ochrony ujęć wody ustanowione przed dniem 1 stycznia 2002 r. wygasają z dniem 31 grudnia 2012 r.</w:t>
      </w:r>
      <w:r>
        <w:rPr/>
        <w:t xml:space="preserve"> Były to - strefa ochrony bezpośredniej ujęcia Zakładów Piwowarskich na rzece Sole oraz strefa ochronna ujęcia wodnego Zakładów Piwowarskich na rzece Leśniance.</w:t>
      </w:r>
    </w:p>
    <w:p>
      <w:pPr>
        <w:pStyle w:val="Normal"/>
        <w:rPr/>
      </w:pPr>
      <w:r>
        <w:rPr/>
        <w:t>Ujęcia wód podziemnych w Żywcu wg PSH PIG-PIB to: Szpital Rejonowy, Browar Żywiec, Z-dy Papiernicze, Fabryka FAMED, Garbarnia ul. Garbarska 3.</w:t>
      </w:r>
    </w:p>
    <w:p>
      <w:pPr>
        <w:pStyle w:val="Normal"/>
        <w:rPr/>
      </w:pPr>
      <w:r>
        <w:rPr/>
        <w:t>Rozporządzenie Dyrektora RZGW w Krakowie nr 27/2012 z dnia 27 grudnia 2012 r. zmienione Rozporządzeniem Dyrektora Regionalnego Zarządu Gospodarki Wodnej w Krakowie z dnia 25 stycznia 2017 r. na podstawie art. 58 ust. 1 ustawy z dnia 18 lipca 2001 r. Prawo wodne (Dz. U. z 2012r., poz. 145) zarządza:</w:t>
      </w:r>
    </w:p>
    <w:p>
      <w:pPr>
        <w:pStyle w:val="Normal"/>
        <w:numPr>
          <w:ilvl w:val="0"/>
          <w:numId w:val="34"/>
        </w:numPr>
        <w:ind w:left="714" w:hanging="357"/>
        <w:rPr/>
      </w:pPr>
      <w:r>
        <w:rPr/>
        <w:t>w § 1 a) ust. 1 otrzymuje brzmienie: „1. Ustanawia się strefę ochronną ujęcia wody powierzchniowej z rzeki Koszarawy, zlokalizowanego w miejscowości Żywiec, gmina Żywiec, powiat żywiecki, województwo śląskie, zwaną dalej strefą ochronną.”,</w:t>
      </w:r>
    </w:p>
    <w:p>
      <w:pPr>
        <w:pStyle w:val="Normal"/>
        <w:numPr>
          <w:ilvl w:val="0"/>
          <w:numId w:val="34"/>
        </w:numPr>
        <w:ind w:left="714" w:hanging="357"/>
        <w:rPr/>
      </w:pPr>
      <w:r>
        <w:rPr/>
        <w:t xml:space="preserve">b) ust. 2 pkt 1 otrzymuje brzmienie: „teren ochrony bezpośredniej o łącznej powierzchni 1,3 ha, obejmujący ujęcie brzegowe zlokalizowane na prawym brzegu rzeki Koszarawy w km 4+340 w Żywcu i ujęcie drenażowe zlokalizowane na lewym brzegu rzeki Koszarawy w Świnnej”. </w:t>
      </w:r>
    </w:p>
    <w:p>
      <w:pPr>
        <w:pStyle w:val="Normal"/>
        <w:rPr/>
      </w:pPr>
      <w:r>
        <w:rPr/>
        <w:t>W skład terenu ochrony bezpośredniej wchodzi:</w:t>
      </w:r>
    </w:p>
    <w:p>
      <w:pPr>
        <w:pStyle w:val="Normal"/>
        <w:numPr>
          <w:ilvl w:val="0"/>
          <w:numId w:val="34"/>
        </w:numPr>
        <w:ind w:left="714" w:hanging="357"/>
        <w:rPr/>
      </w:pPr>
      <w:r>
        <w:rPr/>
        <w:t xml:space="preserve">ogrodzona część Młynówki Okrężnej, </w:t>
      </w:r>
    </w:p>
    <w:p>
      <w:pPr>
        <w:pStyle w:val="Normal"/>
        <w:numPr>
          <w:ilvl w:val="0"/>
          <w:numId w:val="34"/>
        </w:numPr>
        <w:ind w:left="714" w:hanging="357"/>
        <w:rPr/>
      </w:pPr>
      <w:r>
        <w:rPr/>
        <w:t xml:space="preserve">teren na prawym brzegu rzeki Koszarawy powyżej kraty wlotowej pomiędzy torami PKP, a rzeką oraz poniżej kraty wlotowej, wokół piaskownika, </w:t>
      </w:r>
    </w:p>
    <w:p>
      <w:pPr>
        <w:pStyle w:val="Normal"/>
        <w:numPr>
          <w:ilvl w:val="0"/>
          <w:numId w:val="34"/>
        </w:numPr>
        <w:ind w:left="714" w:hanging="357"/>
        <w:rPr/>
      </w:pPr>
      <w:r>
        <w:rPr/>
        <w:t>pas terenu na lewym brzegu rzeki Koszarawy, na którym zlokalizowane jest ujęcie drenażowe infiltracyjne w Świnnej, składające się z ujęcia wody Koszarawa I oraz ujęcia wody Koszarawa II;”;</w:t>
      </w:r>
    </w:p>
    <w:p>
      <w:pPr>
        <w:pStyle w:val="Normal"/>
        <w:rPr/>
      </w:pPr>
      <w:r>
        <w:rPr/>
        <w:t xml:space="preserve">Na terenie ochrony bezpośredniej obowiązują zakazy i nakazy wynikające z art. 127 ustawy Prawo wodne. Na terenie ochrony bezpośredniej zakazuje się użytkowania gruntów do celów niezwiązanych z eksploatacją ujęcia wody. </w:t>
      </w:r>
    </w:p>
    <w:p>
      <w:pPr>
        <w:pStyle w:val="Normal"/>
        <w:spacing w:lineRule="auto" w:line="360"/>
        <w:rPr/>
      </w:pPr>
      <w:r>
        <w:rPr/>
      </w:r>
    </w:p>
    <w:p>
      <w:pPr>
        <w:pStyle w:val="Normal"/>
        <w:ind w:hanging="0"/>
        <w:jc w:val="center"/>
        <w:rPr>
          <w:color w:val="C00000"/>
        </w:rPr>
      </w:pPr>
      <w:r>
        <w:rPr/>
        <w:drawing>
          <wp:inline distT="19050" distB="7620" distL="19050" distR="3175">
            <wp:extent cx="5711825" cy="2926080"/>
            <wp:effectExtent l="0" t="0" r="0" b="0"/>
            <wp:docPr id="32" name="Obraz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21" descr=""/>
                    <pic:cNvPicPr>
                      <a:picLocks noChangeAspect="1" noChangeArrowheads="1"/>
                    </pic:cNvPicPr>
                  </pic:nvPicPr>
                  <pic:blipFill>
                    <a:blip r:embed="rId43"/>
                    <a:srcRect l="0" t="15410" r="0" b="0"/>
                    <a:stretch>
                      <a:fillRect/>
                    </a:stretch>
                  </pic:blipFill>
                  <pic:spPr bwMode="auto">
                    <a:xfrm>
                      <a:off x="0" y="0"/>
                      <a:ext cx="5711825" cy="292608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22</w:t>
      </w:r>
      <w:r>
        <w:fldChar w:fldCharType="end"/>
      </w:r>
      <w:r>
        <w:rPr/>
        <w:t>.</w:t>
      </w:r>
      <w:r>
        <w:rPr>
          <w:b w:val="false"/>
        </w:rPr>
        <w:t xml:space="preserve"> Teren ochrony bezpośredniej ujęcia wody powierzchniowej z rzeki Koszarawy</w:t>
      </w:r>
    </w:p>
    <w:p>
      <w:pPr>
        <w:pStyle w:val="Normal"/>
        <w:rPr/>
      </w:pPr>
      <w:r>
        <w:rPr/>
      </w:r>
    </w:p>
    <w:p>
      <w:pPr>
        <w:pStyle w:val="Normal"/>
        <w:rPr/>
      </w:pPr>
      <w:r>
        <w:rPr/>
        <w:t>Strefa ochrony bezpośredniej zaczyna się około 5,2 km na wschód od lokalizacji projektowanej Inwestycji.</w:t>
      </w:r>
    </w:p>
    <w:p>
      <w:pPr>
        <w:pStyle w:val="Normal"/>
        <w:rPr/>
      </w:pPr>
      <w:r>
        <w:rPr/>
        <w:t>Analizowane przedsięwzięcie położone jest poza terenem ochrony pośredniej ujęć wody z rzeki Koszarawy.</w:t>
      </w:r>
    </w:p>
    <w:p>
      <w:pPr>
        <w:pStyle w:val="Normal"/>
        <w:rPr/>
      </w:pPr>
      <w:r>
        <w:rPr/>
        <w:t>Powyższe ustalenia w znacznym stopniu są spójne z ogólnymi zasadami ochrony „zlewni chronionych” oraz obszaru Ż.P.K. – ochrony zasobów wodnych występujących w zbiornikach wód podziemnych: trzeciorzędowym, szczelinowo porowym GZWP Nr 445 „Zbiornik Warstw Magura” i czwartorzędowym użytkowym poziomie wód podziemnych UPWP Nr 446 „Dolina rzeki Soły”.</w:t>
      </w:r>
    </w:p>
    <w:p>
      <w:pPr>
        <w:pStyle w:val="Normal"/>
        <w:spacing w:lineRule="auto" w:line="360"/>
        <w:rPr/>
      </w:pPr>
      <w:r>
        <w:rPr/>
      </w:r>
    </w:p>
    <w:p>
      <w:pPr>
        <w:pStyle w:val="Normal"/>
        <w:ind w:hanging="0"/>
        <w:jc w:val="center"/>
        <w:rPr/>
      </w:pPr>
      <w:r>
        <w:rPr/>
        <w:drawing>
          <wp:inline distT="19050" distB="0" distL="19050" distR="0">
            <wp:extent cx="5280025" cy="3301365"/>
            <wp:effectExtent l="0" t="0" r="0" b="0"/>
            <wp:docPr id="34" name="Obraz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22" descr=""/>
                    <pic:cNvPicPr>
                      <a:picLocks noChangeAspect="1" noChangeArrowheads="1"/>
                    </pic:cNvPicPr>
                  </pic:nvPicPr>
                  <pic:blipFill>
                    <a:blip r:embed="rId45"/>
                    <a:stretch>
                      <a:fillRect/>
                    </a:stretch>
                  </pic:blipFill>
                  <pic:spPr bwMode="auto">
                    <a:xfrm>
                      <a:off x="0" y="0"/>
                      <a:ext cx="5280025" cy="3301365"/>
                    </a:xfrm>
                    <a:prstGeom prst="rect">
                      <a:avLst/>
                    </a:prstGeom>
                    <a:ln w="9525">
                      <a:solidFill>
                        <a:srgbClr val="5B9BD5"/>
                      </a:solidFill>
                    </a:ln>
                  </pic:spPr>
                </pic:pic>
              </a:graphicData>
            </a:graphic>
          </wp:inline>
        </w:drawing>
        <w:drawing>
          <wp:anchor behindDoc="0" distT="19050" distB="3810" distL="133350" distR="114300" simplePos="0" locked="0" layoutInCell="1" allowOverlap="1" relativeHeight="2">
            <wp:simplePos x="0" y="0"/>
            <wp:positionH relativeFrom="column">
              <wp:posOffset>351790</wp:posOffset>
            </wp:positionH>
            <wp:positionV relativeFrom="paragraph">
              <wp:posOffset>25400</wp:posOffset>
            </wp:positionV>
            <wp:extent cx="3018155" cy="1386840"/>
            <wp:effectExtent l="0" t="0" r="0" b="0"/>
            <wp:wrapNone/>
            <wp:docPr id="33" name="Obraz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23" descr=""/>
                    <pic:cNvPicPr>
                      <a:picLocks noChangeAspect="1" noChangeArrowheads="1"/>
                    </pic:cNvPicPr>
                  </pic:nvPicPr>
                  <pic:blipFill>
                    <a:blip r:embed="rId44"/>
                    <a:stretch>
                      <a:fillRect/>
                    </a:stretch>
                  </pic:blipFill>
                  <pic:spPr bwMode="auto">
                    <a:xfrm>
                      <a:off x="0" y="0"/>
                      <a:ext cx="3018155" cy="1386840"/>
                    </a:xfrm>
                    <a:prstGeom prst="rect">
                      <a:avLst/>
                    </a:prstGeom>
                    <a:ln w="9525">
                      <a:solidFill>
                        <a:srgbClr val="5B9BD5"/>
                      </a:solidFill>
                    </a:ln>
                  </pic:spPr>
                </pic:pic>
              </a:graphicData>
            </a:graphic>
          </wp:anchor>
        </w:drawing>
      </w:r>
    </w:p>
    <w:p>
      <w:pPr>
        <w:pStyle w:val="Caption"/>
        <w:jc w:val="center"/>
        <w:rPr/>
      </w:pPr>
      <w:r>
        <w:rPr/>
        <w:t xml:space="preserve">Rysunek </w:t>
      </w:r>
      <w:r>
        <w:rPr/>
        <w:fldChar w:fldCharType="begin"/>
      </w:r>
      <w:r>
        <w:instrText> SEQ Rysunek \* ARABIC </w:instrText>
      </w:r>
      <w:r>
        <w:fldChar w:fldCharType="separate"/>
      </w:r>
      <w:r>
        <w:t>23</w:t>
      </w:r>
      <w:r>
        <w:fldChar w:fldCharType="end"/>
      </w:r>
      <w:r>
        <w:rPr/>
        <w:t>.</w:t>
      </w:r>
      <w:r>
        <w:rPr>
          <w:b w:val="false"/>
        </w:rPr>
        <w:t xml:space="preserve"> Teren ochrony pośredniej ujęć wody z rzeki Koszarawy</w:t>
      </w:r>
    </w:p>
    <w:p>
      <w:pPr>
        <w:pStyle w:val="Stopka"/>
        <w:spacing w:before="0" w:after="60"/>
        <w:ind w:hanging="0"/>
        <w:rPr>
          <w:b/>
          <w:b/>
          <w:u w:val="single"/>
        </w:rPr>
      </w:pPr>
      <w:r>
        <w:rPr>
          <w:b/>
          <w:u w:val="single"/>
        </w:rPr>
        <w:t xml:space="preserve">Zasady ochrony zasobów wód terenów podlegających ochronie wynikające z przepisów odrębnych  </w:t>
      </w:r>
    </w:p>
    <w:p>
      <w:pPr>
        <w:pStyle w:val="Normal"/>
        <w:rPr/>
      </w:pPr>
      <w:r>
        <w:rPr/>
        <w:t>Studium uwarunkowań i kierunków zagospodarowania przestrzennego miasta Żywca zatwierdzone uchwałą nr LXVI/480/2014 Rady Miejskiej w Żywcu z dnia 30 października 2014 r.  zaleca określone działania w celu ochrony zasobów wód podziemnych i powierzchniowych:</w:t>
      </w:r>
    </w:p>
    <w:p>
      <w:pPr>
        <w:pStyle w:val="Normal"/>
        <w:numPr>
          <w:ilvl w:val="0"/>
          <w:numId w:val="63"/>
        </w:numPr>
        <w:rPr/>
      </w:pPr>
      <w:r>
        <w:rPr/>
        <w:t>W zakresie ochrony systemu wód powierzchniowych tworzonego przez cieki układu hydrograficznego Soły i Koszarawy oraz wód podziemnych ustala się:</w:t>
      </w:r>
    </w:p>
    <w:p>
      <w:pPr>
        <w:pStyle w:val="Normal"/>
        <w:numPr>
          <w:ilvl w:val="0"/>
          <w:numId w:val="64"/>
        </w:numPr>
        <w:rPr/>
      </w:pPr>
      <w:r>
        <w:rPr/>
        <w:t>przeciwdziałanie zanieczyszczeniom wód powierzchniowych i dążenie do poprawy ich klasy czystości poprzez zdecydowane ograniczenie występowania zabudowy bez oczyszczania ścieków bytowych oraz działania ograniczające zanieczyszczenie wód związkami chemicznymi wykorzystywanymi w rolnictwie,</w:t>
      </w:r>
    </w:p>
    <w:p>
      <w:pPr>
        <w:pStyle w:val="Normal"/>
        <w:numPr>
          <w:ilvl w:val="0"/>
          <w:numId w:val="64"/>
        </w:numPr>
        <w:rPr/>
      </w:pPr>
      <w:r>
        <w:rPr/>
        <w:t>należy egzekwować obowiązek systematycznego opróżniania zbiorników bezodpływowych na terenach nie objętych systemem kanalizacji,</w:t>
      </w:r>
    </w:p>
    <w:p>
      <w:pPr>
        <w:pStyle w:val="Normal"/>
        <w:numPr>
          <w:ilvl w:val="0"/>
          <w:numId w:val="64"/>
        </w:numPr>
        <w:rPr/>
      </w:pPr>
      <w:r>
        <w:rPr/>
        <w:t>dążenie do rozbudowy sieci kanalizacyjnej w gminie,</w:t>
      </w:r>
    </w:p>
    <w:p>
      <w:pPr>
        <w:pStyle w:val="Normal"/>
        <w:numPr>
          <w:ilvl w:val="0"/>
          <w:numId w:val="64"/>
        </w:numPr>
        <w:rPr/>
      </w:pPr>
      <w:r>
        <w:rPr/>
        <w:t>w strefie 5 m od cieków i zbiorników wodnych wprowadza się zakaz lokalizacji nowej zabudowy i innej działalności wywołującej degradację szaty roślinnej,</w:t>
      </w:r>
    </w:p>
    <w:p>
      <w:pPr>
        <w:pStyle w:val="Normal"/>
        <w:numPr>
          <w:ilvl w:val="0"/>
          <w:numId w:val="64"/>
        </w:numPr>
        <w:rPr/>
      </w:pPr>
      <w:r>
        <w:rPr/>
        <w:t>zakaz grodzenia nieruchomości w odległości mniejszej niż 1,5 m od krawędzi cieku,</w:t>
      </w:r>
    </w:p>
    <w:p>
      <w:pPr>
        <w:pStyle w:val="Normal"/>
        <w:numPr>
          <w:ilvl w:val="0"/>
          <w:numId w:val="64"/>
        </w:numPr>
        <w:rPr/>
      </w:pPr>
      <w:r>
        <w:rPr/>
        <w:t>zakaz wykonywania obiektów budowlanych, kopania studni, sadzawek, dołów oraz rowów w odległości mniejszej niż 50 m od stopy wału po stronie odpowietrznej,</w:t>
      </w:r>
    </w:p>
    <w:p>
      <w:pPr>
        <w:pStyle w:val="Normal"/>
        <w:numPr>
          <w:ilvl w:val="0"/>
          <w:numId w:val="64"/>
        </w:numPr>
        <w:rPr/>
      </w:pPr>
      <w:r>
        <w:rPr/>
        <w:t>regulacje techniczne cieków wodnych muszą być ograniczone do niezbędnego minimum, musi zostać zachowana więź hydrologiczna koryt z otoczeniem, a także zachowana ich obudowa biologiczna.</w:t>
      </w:r>
    </w:p>
    <w:p>
      <w:pPr>
        <w:pStyle w:val="Normal"/>
        <w:numPr>
          <w:ilvl w:val="0"/>
          <w:numId w:val="63"/>
        </w:numPr>
        <w:rPr/>
      </w:pPr>
      <w:r>
        <w:rPr/>
        <w:t xml:space="preserve">Dla ochrony ujęć wód powierzchniowych i podziemnych należy egzekwować powołujące je rozporządzenia, w tym ograniczenia określone dla ustanowionych stref ochrony bezpośredniej i pośredniej. </w:t>
      </w:r>
    </w:p>
    <w:p>
      <w:pPr>
        <w:pStyle w:val="Normal"/>
        <w:rPr/>
      </w:pPr>
      <w:r>
        <w:rPr/>
        <w:t>Uchwała Nr V/26/2/2016 Sejmiku Województwa Śląskiego z dnia 29 sierpnia 2016 r. w sprawie przyjęcia Planu zagospodarowania przestrzennego województwa śląskiego 2020+  ustala:</w:t>
      </w:r>
    </w:p>
    <w:p>
      <w:pPr>
        <w:pStyle w:val="Normal"/>
        <w:numPr>
          <w:ilvl w:val="0"/>
          <w:numId w:val="65"/>
        </w:numPr>
        <w:rPr/>
      </w:pPr>
      <w:r>
        <w:rPr/>
        <w:t>Dla obszaru narażonego na niebezpieczeństwo powodzi przyjmuje się następujące zasady zagospodarowania:</w:t>
      </w:r>
    </w:p>
    <w:p>
      <w:pPr>
        <w:pStyle w:val="Normal"/>
        <w:numPr>
          <w:ilvl w:val="0"/>
          <w:numId w:val="34"/>
        </w:numPr>
        <w:ind w:left="714" w:hanging="357"/>
        <w:rPr/>
      </w:pPr>
      <w:r>
        <w:rPr/>
        <w:t xml:space="preserve">stosowanie zakazów i ograniczeń wynikających z przepisów odrębnych oraz z planów zarządzania ryzykiem powodziowym, </w:t>
      </w:r>
    </w:p>
    <w:p>
      <w:pPr>
        <w:pStyle w:val="Normal"/>
        <w:numPr>
          <w:ilvl w:val="0"/>
          <w:numId w:val="34"/>
        </w:numPr>
        <w:ind w:left="714" w:hanging="357"/>
        <w:rPr/>
      </w:pPr>
      <w:r>
        <w:rPr/>
        <w:t xml:space="preserve">stosowanie zakazów i ograniczeń wynikających ze studiów ochrony przeciwpowodziowej w zlewniach rzek: Boży Stok, Krztynia, Ordonka, Pilica, Soła, Stradomka, Wiercica, Żebrówka, </w:t>
      </w:r>
    </w:p>
    <w:p>
      <w:pPr>
        <w:pStyle w:val="Normal"/>
        <w:numPr>
          <w:ilvl w:val="0"/>
          <w:numId w:val="34"/>
        </w:numPr>
        <w:ind w:left="714" w:hanging="357"/>
        <w:rPr/>
      </w:pPr>
      <w:r>
        <w:rPr/>
        <w:t>na obszarach szczególnego zagrożenia powodzią przeznaczanie terenów niezainwestowanych i nieprzeznaczonych do zainwestowania w gminnych dokumentach planistycznych na zielone użytki rolne (pastwiska, łąki) lub obszary zielonej infrastruktury,</w:t>
      </w:r>
    </w:p>
    <w:p>
      <w:pPr>
        <w:pStyle w:val="Normal"/>
        <w:numPr>
          <w:ilvl w:val="0"/>
          <w:numId w:val="34"/>
        </w:numPr>
        <w:ind w:left="714" w:hanging="357"/>
        <w:rPr/>
      </w:pPr>
      <w:r>
        <w:rPr/>
        <w:t xml:space="preserve">na obszarach szczególnego zagrożenia powodzią ochrona zabudowy na terenach obecnie zurbanizowanych lub przeznaczonych do zabudowy w obowiązujących gminnych dokumentach Id: 02D50FFD-43FD-4192-B187-05178B03BEF7. Podpisany Strona 103 104 planistycznych, </w:t>
      </w:r>
    </w:p>
    <w:p>
      <w:pPr>
        <w:pStyle w:val="Normal"/>
        <w:numPr>
          <w:ilvl w:val="0"/>
          <w:numId w:val="34"/>
        </w:numPr>
        <w:ind w:left="714" w:hanging="357"/>
        <w:rPr/>
      </w:pPr>
      <w:r>
        <w:rPr/>
        <w:t>realizacja inwestycji z zakresu ochrony przeciwpowodziowej ujętych w Planie gospodarowania wodami na obszarze dorzecza Wisły i Odry,</w:t>
      </w:r>
    </w:p>
    <w:p>
      <w:pPr>
        <w:pStyle w:val="Normal"/>
        <w:numPr>
          <w:ilvl w:val="0"/>
          <w:numId w:val="34"/>
        </w:numPr>
        <w:ind w:left="714" w:hanging="357"/>
        <w:rPr/>
      </w:pPr>
      <w:r>
        <w:rPr/>
        <w:t>tworzenie polderów zalewowych lub ich renaturalizację,</w:t>
      </w:r>
    </w:p>
    <w:p>
      <w:pPr>
        <w:pStyle w:val="Normal"/>
        <w:numPr>
          <w:ilvl w:val="0"/>
          <w:numId w:val="34"/>
        </w:numPr>
        <w:ind w:left="714" w:hanging="357"/>
        <w:rPr/>
      </w:pPr>
      <w:r>
        <w:rPr/>
        <w:t>kształtowanie pokrycia terenu w sposób ograniczający odpływ powierzchniowy i sprzyjający retencji wód,</w:t>
      </w:r>
    </w:p>
    <w:p>
      <w:pPr>
        <w:pStyle w:val="Normal"/>
        <w:numPr>
          <w:ilvl w:val="0"/>
          <w:numId w:val="34"/>
        </w:numPr>
        <w:ind w:left="714" w:hanging="357"/>
        <w:rPr/>
      </w:pPr>
      <w:r>
        <w:rPr/>
        <w:t xml:space="preserve">dostosowanie sposobu zagospodarowania terenu do jego naturalnych cech, predyspozycji i walorów oraz odporności środowiska na antropopresję, </w:t>
      </w:r>
    </w:p>
    <w:p>
      <w:pPr>
        <w:pStyle w:val="Normal"/>
        <w:numPr>
          <w:ilvl w:val="0"/>
          <w:numId w:val="34"/>
        </w:numPr>
        <w:ind w:left="714" w:hanging="357"/>
        <w:rPr/>
      </w:pPr>
      <w:r>
        <w:rPr/>
        <w:t xml:space="preserve">upowszechnianie na terenach zalewowych form użytkowania terenu dopuszczających okresowe zalewanie, </w:t>
      </w:r>
    </w:p>
    <w:p>
      <w:pPr>
        <w:pStyle w:val="Normal"/>
        <w:numPr>
          <w:ilvl w:val="0"/>
          <w:numId w:val="34"/>
        </w:numPr>
        <w:ind w:left="714" w:hanging="357"/>
        <w:rPr/>
      </w:pPr>
      <w:r>
        <w:rPr/>
        <w:t xml:space="preserve">wykluczenie możliwości przemieszczania zagrożenia powodziowego na tereny położone w niższym biegu rzeki, </w:t>
      </w:r>
    </w:p>
    <w:p>
      <w:pPr>
        <w:pStyle w:val="Normal"/>
        <w:numPr>
          <w:ilvl w:val="0"/>
          <w:numId w:val="34"/>
        </w:numPr>
        <w:ind w:left="714" w:hanging="357"/>
        <w:rPr/>
      </w:pPr>
      <w:r>
        <w:rPr/>
        <w:t xml:space="preserve">utrzymanie we właściwym stanie międzywala dla możliwości przepuszczania wód wezbraniowych, </w:t>
      </w:r>
    </w:p>
    <w:p>
      <w:pPr>
        <w:pStyle w:val="Normal"/>
        <w:numPr>
          <w:ilvl w:val="0"/>
          <w:numId w:val="34"/>
        </w:numPr>
        <w:ind w:left="714" w:hanging="357"/>
        <w:rPr/>
      </w:pPr>
      <w:r>
        <w:rPr/>
        <w:t xml:space="preserve">zachowanie i odtwarzanie siedlisk hydrogenicznych (starorzeczy, torfowisk, łęgów, itp.); </w:t>
      </w:r>
    </w:p>
    <w:p>
      <w:pPr>
        <w:pStyle w:val="Normal"/>
        <w:numPr>
          <w:ilvl w:val="0"/>
          <w:numId w:val="34"/>
        </w:numPr>
        <w:ind w:left="714" w:hanging="357"/>
        <w:rPr/>
      </w:pPr>
      <w:r>
        <w:rPr/>
        <w:t xml:space="preserve">stosowanie prośrodowiskowych rozwiązań służących minimalizowaniu ryzyka powodziowego na obszarach o szczególnie cennych walorach przyrodniczych i krajobrazowych, </w:t>
      </w:r>
    </w:p>
    <w:p>
      <w:pPr>
        <w:pStyle w:val="Normal"/>
        <w:numPr>
          <w:ilvl w:val="0"/>
          <w:numId w:val="34"/>
        </w:numPr>
        <w:ind w:left="714" w:hanging="357"/>
        <w:rPr/>
      </w:pPr>
      <w:r>
        <w:rPr/>
        <w:t>wykluczenie możliwości rekultywacji zalewisk pogórniczych w dolinach cieków wodnych, na terasach zalewowych poprzez ich zasypywanie odpadami.</w:t>
      </w:r>
    </w:p>
    <w:p>
      <w:pPr>
        <w:pStyle w:val="Normal"/>
        <w:numPr>
          <w:ilvl w:val="0"/>
          <w:numId w:val="65"/>
        </w:numPr>
        <w:rPr/>
      </w:pPr>
      <w:r>
        <w:rPr/>
        <w:t xml:space="preserve">Dla obszaru ochrony i kształtowania zasobów wodnych przyjmuje się następujące zasady zagospodarowania: </w:t>
      </w:r>
    </w:p>
    <w:p>
      <w:pPr>
        <w:pStyle w:val="Normal"/>
        <w:numPr>
          <w:ilvl w:val="0"/>
          <w:numId w:val="34"/>
        </w:numPr>
        <w:ind w:left="714" w:hanging="357"/>
        <w:rPr/>
      </w:pPr>
      <w:r>
        <w:rPr/>
        <w:t xml:space="preserve">dostosowanie sposobu zagospodarowania i użytkowania terenu do potrzeb ochrony zasobów wód (w tym wód pitnych), poprzez wykluczanie funkcji i form zagospodarowania terenu stwarzających zagrożenie dla wód lub powodujących pogarszanie warunków zasilania podziemnych poziomów wodonośnych, w szczególności w strefach ochronnych ujęć wód, projektowanych obszarach ochronnych oraz w strefach zasilania Głównych Zbiorników Wód Podziemnych i Lokalnych Zbiorników Wód Podziemnych, </w:t>
      </w:r>
    </w:p>
    <w:p>
      <w:pPr>
        <w:pStyle w:val="Normal"/>
        <w:numPr>
          <w:ilvl w:val="0"/>
          <w:numId w:val="34"/>
        </w:numPr>
        <w:ind w:left="714" w:hanging="357"/>
        <w:rPr/>
      </w:pPr>
      <w:r>
        <w:rPr/>
        <w:t xml:space="preserve">ochrona zasobów wód poprzez uregulowanie gospodarki ściekowej i gospodarki odpadami oraz likwidowanie istniejących źródeł zanieczyszczeń wynikających z intensywnego użytkowania rolniczego, działalności przemysłowej (w tym zrzutów słonych wód dołowych z kopalń), </w:t>
      </w:r>
    </w:p>
    <w:p>
      <w:pPr>
        <w:pStyle w:val="Normal"/>
        <w:numPr>
          <w:ilvl w:val="0"/>
          <w:numId w:val="34"/>
        </w:numPr>
        <w:ind w:left="714" w:hanging="357"/>
        <w:rPr/>
      </w:pPr>
      <w:r>
        <w:rPr/>
        <w:t xml:space="preserve">koncentracja terenów inwestycyjnych (w tym zabudowy mieszkaniowej) w obszarach aglomeracji obsługiwanych systemami zbiorowego odprowadzania ścieków do oczyszczalni zapewniających właściwy stopień oczyszczania, </w:t>
      </w:r>
    </w:p>
    <w:p>
      <w:pPr>
        <w:pStyle w:val="Normal"/>
        <w:numPr>
          <w:ilvl w:val="0"/>
          <w:numId w:val="34"/>
        </w:numPr>
        <w:ind w:left="714" w:hanging="357"/>
        <w:rPr/>
      </w:pPr>
      <w:r>
        <w:rPr/>
        <w:t xml:space="preserve">usprawnianie systemów melioracyjnych poprzez przebudowę systemów odwadniających na nawadniająco-odwadniające oraz dla retencjonowania wód, </w:t>
      </w:r>
    </w:p>
    <w:p>
      <w:pPr>
        <w:pStyle w:val="Normal"/>
        <w:numPr>
          <w:ilvl w:val="0"/>
          <w:numId w:val="34"/>
        </w:numPr>
        <w:ind w:left="714" w:hanging="357"/>
        <w:rPr/>
      </w:pPr>
      <w:r>
        <w:rPr/>
        <w:t xml:space="preserve">zachowanie mozaiki powierzchni nieprzepuszczalnych z terenami biologicznie czynnymi (parki, ogrody, trawniki) na terenach zurbanizowanych; </w:t>
      </w:r>
    </w:p>
    <w:p>
      <w:pPr>
        <w:pStyle w:val="Normal"/>
        <w:numPr>
          <w:ilvl w:val="0"/>
          <w:numId w:val="34"/>
        </w:numPr>
        <w:ind w:left="714" w:hanging="357"/>
        <w:rPr/>
      </w:pPr>
      <w:r>
        <w:rPr/>
        <w:t xml:space="preserve">realizowanie działań technicznych, z zakresu małej retencji, w tym budowa zbiorników retencyjnych, poza obszarami źródlisk i mokradeł, </w:t>
      </w:r>
    </w:p>
    <w:p>
      <w:pPr>
        <w:pStyle w:val="Normal"/>
        <w:numPr>
          <w:ilvl w:val="0"/>
          <w:numId w:val="34"/>
        </w:numPr>
        <w:ind w:left="714" w:hanging="357"/>
        <w:rPr/>
      </w:pPr>
      <w:r>
        <w:rPr/>
        <w:t xml:space="preserve">utrzymanie i zwiększanie retencyjności w zlewniach poprzez: ochronę obszarów mokradłowych oraz dolin cieków rzecznych, renaturalizacje rzek i potoków, </w:t>
      </w:r>
    </w:p>
    <w:p>
      <w:pPr>
        <w:pStyle w:val="Normal"/>
        <w:numPr>
          <w:ilvl w:val="0"/>
          <w:numId w:val="34"/>
        </w:numPr>
        <w:ind w:left="714" w:hanging="357"/>
        <w:rPr/>
      </w:pPr>
      <w:r>
        <w:rPr/>
        <w:t xml:space="preserve">zagospodarowanie niezanieczyszczonych wód opadowych i roztopowych z powierzchni szczelnych w pierwszym rzędzie w obrębie posesji, a następnie w obrębie zlewni obejmującej obszar zurbanizowany, </w:t>
      </w:r>
    </w:p>
    <w:p>
      <w:pPr>
        <w:pStyle w:val="Normal"/>
        <w:numPr>
          <w:ilvl w:val="0"/>
          <w:numId w:val="34"/>
        </w:numPr>
        <w:ind w:left="714" w:hanging="357"/>
        <w:rPr/>
      </w:pPr>
      <w:r>
        <w:rPr/>
        <w:t xml:space="preserve">ograniczanie lokalizacji działalności wodochłonnej na obszarach deficytów wody służącej do zaopatrzenia ludzi w wodę do spożycia, </w:t>
      </w:r>
    </w:p>
    <w:p>
      <w:pPr>
        <w:pStyle w:val="Normal"/>
        <w:numPr>
          <w:ilvl w:val="0"/>
          <w:numId w:val="34"/>
        </w:numPr>
        <w:ind w:left="714" w:hanging="357"/>
        <w:rPr/>
      </w:pPr>
      <w:r>
        <w:rPr/>
        <w:t>lokowanie elektrowni wodnych wyłącznie na istniejących urządzeniach wodnych i nowo budowanych zbiornikach wodnych przy uwzględnieniu uwarunkowań środowiskowych oraz zastosowaniu rozwiązań zapewniających możliwość migracji organizmów wodnych.</w:t>
      </w:r>
    </w:p>
    <w:p>
      <w:pPr>
        <w:pStyle w:val="Normal"/>
        <w:rPr/>
      </w:pPr>
      <w:r>
        <w:rPr/>
        <w:t xml:space="preserve"> </w:t>
      </w:r>
      <w:r>
        <w:rPr/>
        <w:t xml:space="preserve">Zakazy i nakazy dotyczące wód są regulowane także innymi ustawami szczegółowymi, przepisami: ustawy z dnia </w:t>
      </w:r>
      <w:r>
        <w:rPr>
          <w:i/>
        </w:rPr>
        <w:t>7 czerwca 2001 r. o zbiorowym zaopatrzeniu w wodę i zbiorowym odprowadzaniu ścieków</w:t>
      </w:r>
      <w:r>
        <w:rPr/>
        <w:t xml:space="preserve"> (Dz. U. z 2017 r. poz. 328 i 1566); ustawy z dnia 16 kwietnia 2004 r. </w:t>
      </w:r>
      <w:r>
        <w:rPr>
          <w:i/>
        </w:rPr>
        <w:t>o ochronie przyrody</w:t>
      </w:r>
      <w:r>
        <w:rPr/>
        <w:t xml:space="preserve"> (Dz. U. 2018 poz. 142).</w:t>
      </w:r>
    </w:p>
    <w:p>
      <w:pPr>
        <w:pStyle w:val="Normal"/>
        <w:rPr/>
      </w:pPr>
      <w:r>
        <w:rPr/>
      </w:r>
    </w:p>
    <w:p>
      <w:pPr>
        <w:pStyle w:val="Nagwek2"/>
        <w:numPr>
          <w:ilvl w:val="1"/>
          <w:numId w:val="2"/>
        </w:numPr>
        <w:ind w:hanging="578"/>
        <w:rPr/>
      </w:pPr>
      <w:bookmarkStart w:id="47" w:name="_Toc518331309"/>
      <w:bookmarkEnd w:id="47"/>
      <w:r>
        <w:rPr/>
        <w:t>Roślinność</w:t>
      </w:r>
    </w:p>
    <w:p>
      <w:pPr>
        <w:pStyle w:val="Normal"/>
        <w:rPr>
          <w:bCs/>
        </w:rPr>
      </w:pPr>
      <w:r>
        <w:rPr>
          <w:bCs/>
        </w:rPr>
        <w:t xml:space="preserve">Według regionalizacji geobotanicznej J.M. Matuszkiewicza (1992) obszar dolin rzecznych w rejonie Kotliny Żywieckiej oraz samej Kotliny Żywieckiej znajduje się w Krainie Karpat Zachodnich (H1), podkrainie Zachodniobeskidzkiej (H1a), okręgu Beskidzkim Żywieckim (H.1a.5), Podokręgu Kotliny Żywieckiej (H.1a.5.c). Otaczające je od wschodu tereny gór średnich i niskich należą do Podokręgu Beskidu Małego (H.1a.5.d). </w:t>
      </w:r>
    </w:p>
    <w:p>
      <w:pPr>
        <w:pStyle w:val="Normal"/>
        <w:rPr>
          <w:bCs/>
        </w:rPr>
      </w:pPr>
      <w:r>
        <w:rPr>
          <w:bCs/>
        </w:rPr>
        <w:t xml:space="preserve">Potencjalną roślinnością w tym regionie zależną od zróżnicowania siedlisk, z uwzględnieniem zmian spowodowanych działalnością człowieka, jest: </w:t>
      </w:r>
    </w:p>
    <w:p>
      <w:pPr>
        <w:pStyle w:val="Normal"/>
        <w:numPr>
          <w:ilvl w:val="0"/>
          <w:numId w:val="34"/>
        </w:numPr>
        <w:rPr/>
      </w:pPr>
      <w:r>
        <w:rPr/>
        <w:t xml:space="preserve">03 - łęg jesionowo-wiązowy w dolinach rzecznych okresowo zalewanych, </w:t>
      </w:r>
    </w:p>
    <w:p>
      <w:pPr>
        <w:pStyle w:val="Normal"/>
        <w:numPr>
          <w:ilvl w:val="0"/>
          <w:numId w:val="34"/>
        </w:numPr>
        <w:rPr/>
      </w:pPr>
      <w:r>
        <w:rPr/>
        <w:t>06 - nadrzeczna olszyna górska w dolinach mniejszych cieków w postaci zespołów lasów na aluwiach rzecznych w górach,</w:t>
      </w:r>
    </w:p>
    <w:p>
      <w:pPr>
        <w:pStyle w:val="Normal"/>
        <w:numPr>
          <w:ilvl w:val="0"/>
          <w:numId w:val="34"/>
        </w:numPr>
        <w:rPr/>
      </w:pPr>
      <w:r>
        <w:rPr/>
        <w:t xml:space="preserve">18, 19 – grąd wielogatunkowy i wielowarstwowy las liściasty zazwyczaj z przewagą grabów i dębów oraz z udziałem różnych innych gatunków. W  klasyfikacji siedlisk leśnych ten typ ekosystemu występuje na siedliskach LMśw, LMw, Lśw, Lw, a także na analogicznych siedliskach wyżynnych. Grądy są dominującym typem roślinności potencjalnej, jednak zdecydowana większość ich siedlisk została odlesiona i zamieniona na tereny rolnicze. Siedliska grądowe  wyjątkowo dobrze nadają się do uprawy. </w:t>
      </w:r>
    </w:p>
    <w:p>
      <w:pPr>
        <w:pStyle w:val="Normal"/>
        <w:numPr>
          <w:ilvl w:val="0"/>
          <w:numId w:val="34"/>
        </w:numPr>
        <w:rPr/>
      </w:pPr>
      <w:r>
        <w:rPr/>
        <w:t xml:space="preserve">32, 33 - żyzna buczyna karpacka - zespół leśny z dominacją buka zwyczajnego z domieszką jodły,  wiązu górskiego i jaworu. Pierwotnie zajmował niemal cale piętro regla dolnego w Karpatach od około 600 do 1150 m n,p.m. Zajmuje gleby wykształcone z piaskowców i łupków zasobne w węglan wapnia lub przynajmniej zawierające jego drobne ilości. Są to gleby płytkie, gliniaste lub gliniasto-piaszczyste, często kamieniste. </w:t>
      </w:r>
    </w:p>
    <w:p>
      <w:pPr>
        <w:pStyle w:val="Normal"/>
        <w:numPr>
          <w:ilvl w:val="0"/>
          <w:numId w:val="34"/>
        </w:numPr>
        <w:rPr/>
      </w:pPr>
      <w:r>
        <w:rPr/>
        <w:t>07 - podgórski łęg jesionowy - zespół leśny należący do lasów wilgotnych. Są to lasy związane z ciekami wodnymi, z kompleksami źródliskowymi oraz z miejscami wypływu wód podziemnych. </w:t>
      </w:r>
    </w:p>
    <w:p>
      <w:pPr>
        <w:pStyle w:val="Normal"/>
        <w:rPr>
          <w:bCs/>
        </w:rPr>
      </w:pPr>
      <w:r>
        <w:rPr>
          <w:bCs/>
        </w:rPr>
        <w:t>Potencjalna roślinność naturalna opisuje aktualny potencjał biologiczny siedlisk.</w:t>
      </w:r>
    </w:p>
    <w:p>
      <w:pPr>
        <w:pStyle w:val="Normal"/>
        <w:spacing w:lineRule="auto" w:line="360"/>
        <w:rPr>
          <w:bCs/>
        </w:rPr>
      </w:pPr>
      <w:r>
        <w:rPr>
          <w:bCs/>
        </w:rPr>
      </w:r>
    </w:p>
    <w:p>
      <w:pPr>
        <w:pStyle w:val="Tekst"/>
        <w:jc w:val="center"/>
        <w:rPr>
          <w:sz w:val="22"/>
          <w:szCs w:val="22"/>
        </w:rPr>
      </w:pPr>
      <w:r>
        <w:rPr/>
        <w:drawing>
          <wp:inline distT="19050" distB="19050" distL="19050" distR="26670">
            <wp:extent cx="5574030" cy="1828800"/>
            <wp:effectExtent l="0" t="0" r="0" b="0"/>
            <wp:docPr id="35" name="Obraz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24" descr=""/>
                    <pic:cNvPicPr>
                      <a:picLocks noChangeAspect="1" noChangeArrowheads="1"/>
                    </pic:cNvPicPr>
                  </pic:nvPicPr>
                  <pic:blipFill>
                    <a:blip r:embed="rId46"/>
                    <a:stretch>
                      <a:fillRect/>
                    </a:stretch>
                  </pic:blipFill>
                  <pic:spPr bwMode="auto">
                    <a:xfrm>
                      <a:off x="0" y="0"/>
                      <a:ext cx="5574030" cy="182880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24</w:t>
      </w:r>
      <w:r>
        <w:fldChar w:fldCharType="end"/>
      </w:r>
      <w:r>
        <w:rPr/>
        <w:t>.</w:t>
      </w:r>
      <w:r>
        <w:rPr>
          <w:b w:val="false"/>
        </w:rPr>
        <w:t xml:space="preserve"> Roślinność potencjalna w rejonie Kotliny Żywieckiej (źródło: Mapa naturalnej roślinności potencjalnej 1: 1 000 000, J.M. Matuszkiewicz, IGiPZ PAN, Warszawa 2008)</w:t>
      </w:r>
    </w:p>
    <w:p>
      <w:pPr>
        <w:pStyle w:val="Normal"/>
        <w:rPr>
          <w:bCs/>
        </w:rPr>
      </w:pPr>
      <w:r>
        <w:rPr>
          <w:bCs/>
        </w:rPr>
      </w:r>
    </w:p>
    <w:p>
      <w:pPr>
        <w:pStyle w:val="Normal"/>
        <w:rPr>
          <w:bCs/>
        </w:rPr>
      </w:pPr>
      <w:r>
        <w:rPr>
          <w:bCs/>
        </w:rPr>
        <w:t xml:space="preserve">Analizując roślinność naturalną należy przede wszystkim zaznaczyć, że teren przedsięwzięcia stanowi obszar silnie przekształcony wskutek działalności przemysłowej, w związku z czym struktura ekologiczna oraz skład gatunkowy poszczególnych taksonów na tym terenie bardzo odbiega od opisanych powyżej zbiorowisk klimaksowych. </w:t>
      </w:r>
    </w:p>
    <w:p>
      <w:pPr>
        <w:pStyle w:val="Normal"/>
        <w:rPr/>
      </w:pPr>
      <w:r>
        <w:rPr>
          <w:bCs/>
        </w:rPr>
        <w:t xml:space="preserve">Na obszarze planowanej inwestycji brak jest naturalnych siedlisk. Cały teren stanowią grunty zagospodarowane, silnie przekształcone antropogenicznie, porośnięte roślinnością ruderalną lub jej pozbawione. </w:t>
      </w:r>
      <w:r>
        <w:rPr/>
        <w:t xml:space="preserve">Roślinność na omawianym terenie stanowią niewielkie izolowane płaty zbiorowisk ruderalnych o trudnej do ustalenia taksonomii. </w:t>
      </w:r>
    </w:p>
    <w:p>
      <w:pPr>
        <w:pStyle w:val="Normal"/>
        <w:rPr>
          <w:bCs/>
        </w:rPr>
      </w:pPr>
      <w:r>
        <w:rPr/>
        <w:t xml:space="preserve">Stwierdzono dominujący udział trzcinnika piaskowego </w:t>
      </w:r>
      <w:r>
        <w:rPr>
          <w:i/>
        </w:rPr>
        <w:t>Calamagrostis epigejos</w:t>
      </w:r>
      <w:r>
        <w:rPr/>
        <w:t xml:space="preserve">, któremu towarzyszą inne pospolite trawy, w tym </w:t>
      </w:r>
      <w:r>
        <w:rPr>
          <w:bCs/>
        </w:rPr>
        <w:t xml:space="preserve">wiechlina łąkowa </w:t>
      </w:r>
      <w:r>
        <w:rPr>
          <w:bCs/>
          <w:i/>
        </w:rPr>
        <w:t>Poa pratensis</w:t>
      </w:r>
      <w:r>
        <w:rPr>
          <w:bCs/>
        </w:rPr>
        <w:t xml:space="preserve">, wiechlina zwyczajna </w:t>
      </w:r>
      <w:r>
        <w:rPr>
          <w:bCs/>
          <w:i/>
        </w:rPr>
        <w:t>Poa trivialis</w:t>
      </w:r>
      <w:r>
        <w:rPr>
          <w:bCs/>
        </w:rPr>
        <w:t xml:space="preserve">, życica trwała </w:t>
      </w:r>
      <w:r>
        <w:rPr>
          <w:bCs/>
          <w:i/>
        </w:rPr>
        <w:t>Lolium perenne</w:t>
      </w:r>
      <w:r>
        <w:rPr>
          <w:bCs/>
        </w:rPr>
        <w:t xml:space="preserve">i i perz </w:t>
      </w:r>
      <w:r>
        <w:rPr>
          <w:bCs/>
          <w:i/>
        </w:rPr>
        <w:t>Elymus repens</w:t>
      </w:r>
      <w:r>
        <w:rPr>
          <w:bCs/>
        </w:rPr>
        <w:t xml:space="preserve">. Ponadto można stwierdzić obecność inwazyjnej </w:t>
      </w:r>
      <w:r>
        <w:rPr/>
        <w:t>nawłoci późnej</w:t>
      </w:r>
      <w:r>
        <w:rPr>
          <w:i/>
        </w:rPr>
        <w:t xml:space="preserve"> Solidago gigantea</w:t>
      </w:r>
      <w:r>
        <w:rPr/>
        <w:t xml:space="preserve">, ostrożnia </w:t>
      </w:r>
      <w:r>
        <w:rPr>
          <w:bCs/>
        </w:rPr>
        <w:t xml:space="preserve">polnego </w:t>
      </w:r>
      <w:r>
        <w:rPr>
          <w:bCs/>
          <w:i/>
        </w:rPr>
        <w:t>Cirsium arvense</w:t>
      </w:r>
      <w:r>
        <w:rPr>
          <w:bCs/>
        </w:rPr>
        <w:t xml:space="preserve">,  bylicy pospolitej </w:t>
      </w:r>
      <w:r>
        <w:rPr>
          <w:bCs/>
          <w:i/>
        </w:rPr>
        <w:t>Artemisia vulgaris</w:t>
      </w:r>
      <w:r>
        <w:rPr>
          <w:bCs/>
        </w:rPr>
        <w:t xml:space="preserve">, rdestu ptasiego </w:t>
      </w:r>
      <w:r>
        <w:rPr>
          <w:bCs/>
          <w:i/>
        </w:rPr>
        <w:t>Polygonum aviculare</w:t>
      </w:r>
      <w:r>
        <w:rPr>
          <w:bCs/>
        </w:rPr>
        <w:t xml:space="preserve">, babki lancetowatej </w:t>
      </w:r>
      <w:r>
        <w:rPr>
          <w:bCs/>
          <w:i/>
        </w:rPr>
        <w:t>Plantago lanceolata</w:t>
      </w:r>
      <w:r>
        <w:rPr>
          <w:bCs/>
        </w:rPr>
        <w:t xml:space="preserve"> i mniszka lekarskiego </w:t>
      </w:r>
      <w:r>
        <w:rPr>
          <w:bCs/>
          <w:i/>
        </w:rPr>
        <w:t>Taraxacum officinale</w:t>
      </w:r>
      <w:r>
        <w:rPr>
          <w:bCs/>
        </w:rPr>
        <w:t xml:space="preserve">. Występują pojedyncze krzewy maliny właściwej </w:t>
      </w:r>
      <w:r>
        <w:rPr>
          <w:bCs/>
          <w:i/>
        </w:rPr>
        <w:t>Rubus idaeus</w:t>
      </w:r>
      <w:r>
        <w:rPr>
          <w:bCs/>
        </w:rPr>
        <w:t xml:space="preserve">, dzikiej róży </w:t>
      </w:r>
      <w:r>
        <w:rPr>
          <w:bCs/>
          <w:i/>
        </w:rPr>
        <w:t>Rosa canina</w:t>
      </w:r>
      <w:r>
        <w:rPr>
          <w:bCs/>
        </w:rPr>
        <w:t xml:space="preserve">, głogu dwuszyjkowego czy śliwy tarniny </w:t>
      </w:r>
      <w:r>
        <w:rPr>
          <w:bCs/>
          <w:i/>
        </w:rPr>
        <w:t>Prunus spinosa</w:t>
      </w:r>
      <w:r>
        <w:rPr>
          <w:bCs/>
        </w:rPr>
        <w:t xml:space="preserve">. </w:t>
      </w:r>
    </w:p>
    <w:p>
      <w:pPr>
        <w:pStyle w:val="Normal"/>
        <w:rPr>
          <w:bCs/>
        </w:rPr>
      </w:pPr>
      <w:r>
        <w:rPr>
          <w:bCs/>
        </w:rPr>
        <w:t xml:space="preserve">Wśród drzew przeważają samosiejki brzozy brodawkowatej </w:t>
      </w:r>
      <w:r>
        <w:rPr>
          <w:bCs/>
          <w:i/>
        </w:rPr>
        <w:t>Betuta pendula</w:t>
      </w:r>
      <w:r>
        <w:rPr>
          <w:bCs/>
        </w:rPr>
        <w:t xml:space="preserve">, o różnym wieku. Wzdłuż północnej granicy rośnie szpaler dębów szypułkowych </w:t>
      </w:r>
      <w:r>
        <w:rPr>
          <w:bCs/>
          <w:i/>
        </w:rPr>
        <w:t xml:space="preserve">Quercus robur </w:t>
      </w:r>
      <w:r>
        <w:rPr>
          <w:bCs/>
        </w:rPr>
        <w:t>i starszych osobników brzozy</w:t>
      </w:r>
      <w:r>
        <w:rPr>
          <w:bCs/>
          <w:i/>
        </w:rPr>
        <w:t xml:space="preserve"> </w:t>
      </w:r>
      <w:r>
        <w:rPr>
          <w:bCs/>
        </w:rPr>
        <w:t xml:space="preserve">brodawkowatej </w:t>
      </w:r>
      <w:r>
        <w:rPr>
          <w:bCs/>
          <w:i/>
        </w:rPr>
        <w:t>Betula pendula</w:t>
      </w:r>
      <w:r>
        <w:rPr>
          <w:bCs/>
        </w:rPr>
        <w:t>. Wokół budynku występują zasadzone świerki srebrzyste i tuje.</w:t>
      </w:r>
    </w:p>
    <w:p>
      <w:pPr>
        <w:pStyle w:val="Normal"/>
        <w:rPr>
          <w:bCs/>
        </w:rPr>
      </w:pPr>
      <w:r>
        <w:rPr>
          <w:bCs/>
        </w:rPr>
        <w:t xml:space="preserve">Skład gatunkowy jest stosunkowo ubogi. Występujące na tym terenie gatunki roślin to gatunki pospolite charakterystyczne dla siedlisk ruderalnych, typowe dla miejsc pozostawionych częściowo spontanicznym procesom sukcesji wtórnej. Nie stwierdzono występowania gatunków rzadkich czy chronionych. Roślinność ta pozbawiona jest większych wartości fitocenotycznych i ekologicznych. Z punktu widzenia ochrony szaty roślinnej, brak jest jakichkolwiek przeciwwskazań do realizacji planowanego przedsięwzięcia. </w:t>
      </w:r>
    </w:p>
    <w:p>
      <w:pPr>
        <w:pStyle w:val="Normal"/>
        <w:rPr>
          <w:bCs/>
        </w:rPr>
      </w:pPr>
      <w:r>
        <w:rPr>
          <w:bCs/>
        </w:rPr>
      </w:r>
    </w:p>
    <w:p>
      <w:pPr>
        <w:pStyle w:val="Nagwek2"/>
        <w:numPr>
          <w:ilvl w:val="1"/>
          <w:numId w:val="2"/>
        </w:numPr>
        <w:ind w:hanging="578"/>
        <w:rPr/>
      </w:pPr>
      <w:bookmarkStart w:id="48" w:name="_Toc518331310"/>
      <w:bookmarkEnd w:id="48"/>
      <w:r>
        <w:rPr/>
        <w:t>Fauna</w:t>
      </w:r>
    </w:p>
    <w:p>
      <w:pPr>
        <w:pStyle w:val="Normal"/>
        <w:rPr>
          <w:bCs/>
        </w:rPr>
      </w:pPr>
      <w:r>
        <w:rPr>
          <w:bCs/>
        </w:rPr>
        <w:t>Zagospodarowanie (przemysłowe) terenu, w tym fakt, że teren jest ogrodzony oraz stale lub okresowo przebywają na nim ludzie sprawia, że miejscowa fauna nie może być zbyt bogata. Wybitnie antropogeniczne siedlisko nie jest naturalnym miejscem żerowania lub rozrodu zwierząt. Na omawianym terenie stwierdzono występowanie niewielu gatunków fauny.</w:t>
      </w:r>
    </w:p>
    <w:p>
      <w:pPr>
        <w:pStyle w:val="Normal"/>
        <w:rPr>
          <w:bCs/>
        </w:rPr>
      </w:pPr>
      <w:r>
        <w:rPr>
          <w:bCs/>
        </w:rPr>
        <w:t xml:space="preserve">Awifauna reprezentowana jest przez srokę </w:t>
      </w:r>
      <w:r>
        <w:rPr>
          <w:bCs/>
          <w:i/>
        </w:rPr>
        <w:t>Pica pica</w:t>
      </w:r>
      <w:r>
        <w:rPr>
          <w:bCs/>
        </w:rPr>
        <w:t xml:space="preserve">, kawkę </w:t>
      </w:r>
      <w:r>
        <w:rPr>
          <w:bCs/>
          <w:i/>
        </w:rPr>
        <w:t>Corvus monedula</w:t>
      </w:r>
      <w:r>
        <w:rPr>
          <w:bCs/>
        </w:rPr>
        <w:t xml:space="preserve">, mazurka </w:t>
      </w:r>
      <w:r>
        <w:rPr>
          <w:bCs/>
          <w:i/>
        </w:rPr>
        <w:t>Passer montanus</w:t>
      </w:r>
      <w:r>
        <w:rPr>
          <w:bCs/>
        </w:rPr>
        <w:t xml:space="preserve">, sikorę bogatkę </w:t>
      </w:r>
      <w:r>
        <w:rPr>
          <w:bCs/>
          <w:i/>
        </w:rPr>
        <w:t>Parus major</w:t>
      </w:r>
      <w:r>
        <w:rPr>
          <w:bCs/>
        </w:rPr>
        <w:t xml:space="preserve">, sikorę modrą </w:t>
      </w:r>
      <w:r>
        <w:rPr>
          <w:bCs/>
          <w:i/>
        </w:rPr>
        <w:t>Cyanistes caeruleus</w:t>
      </w:r>
      <w:r>
        <w:rPr>
          <w:bCs/>
        </w:rPr>
        <w:t xml:space="preserve">, szpaka zwyczajnego </w:t>
      </w:r>
      <w:r>
        <w:rPr>
          <w:bCs/>
          <w:i/>
        </w:rPr>
        <w:t>Sturnus vulgaris</w:t>
      </w:r>
      <w:r>
        <w:rPr>
          <w:bCs/>
        </w:rPr>
        <w:t xml:space="preserve"> i trznadla </w:t>
      </w:r>
      <w:r>
        <w:rPr>
          <w:bCs/>
          <w:i/>
        </w:rPr>
        <w:t>Emberiza citrinella</w:t>
      </w:r>
      <w:r>
        <w:rPr>
          <w:bCs/>
        </w:rPr>
        <w:t xml:space="preserve">. </w:t>
      </w:r>
    </w:p>
    <w:p>
      <w:pPr>
        <w:pStyle w:val="Normal"/>
        <w:rPr>
          <w:bCs/>
        </w:rPr>
      </w:pPr>
      <w:r>
        <w:rPr>
          <w:bCs/>
        </w:rPr>
        <w:t xml:space="preserve">Na badanym terenie nie stwierdzono obecności ssaków oraz nie stwierdzono występowania i miejsc rozrodu płazów ani gadów. </w:t>
      </w:r>
    </w:p>
    <w:p>
      <w:pPr>
        <w:pStyle w:val="Normal"/>
        <w:rPr>
          <w:bCs/>
        </w:rPr>
      </w:pPr>
      <w:r>
        <w:rPr>
          <w:bCs/>
        </w:rPr>
        <w:t xml:space="preserve">Spośród powyższych gatunków sroka </w:t>
      </w:r>
      <w:r>
        <w:rPr>
          <w:bCs/>
          <w:i/>
        </w:rPr>
        <w:t>Pica pica</w:t>
      </w:r>
      <w:r>
        <w:rPr>
          <w:bCs/>
        </w:rPr>
        <w:t xml:space="preserve"> jest gatunkiem dziko występujących zwierząt objętych ochroną częściową zgodnie z rozporządzeniem Ministra Środowiska z dnia 16 grudnia 2016 r. </w:t>
      </w:r>
      <w:r>
        <w:rPr>
          <w:bCs/>
          <w:i/>
        </w:rPr>
        <w:t>w sprawie ochrony gatunkowej zwierząt</w:t>
      </w:r>
      <w:r>
        <w:rPr>
          <w:bCs/>
        </w:rPr>
        <w:t xml:space="preserve"> (Dz.U. 2016.2183). Pozostałe gatunki ptaków to, zgodnie z powyższym rozporządzeniem, gatunki dziko występujących zwierząt objętych ochroną ścisłą niewymagające ochrony czynnej. Są to gatunki pospolite, typowe dla biocenoz podlegających silnej antropopresji. </w:t>
      </w:r>
    </w:p>
    <w:p>
      <w:pPr>
        <w:pStyle w:val="Normal"/>
        <w:rPr>
          <w:bCs/>
        </w:rPr>
      </w:pPr>
      <w:r>
        <w:rPr>
          <w:bCs/>
        </w:rPr>
      </w:r>
    </w:p>
    <w:p>
      <w:pPr>
        <w:pStyle w:val="Nagwek2"/>
        <w:numPr>
          <w:ilvl w:val="1"/>
          <w:numId w:val="2"/>
        </w:numPr>
        <w:ind w:hanging="578"/>
        <w:rPr/>
      </w:pPr>
      <w:bookmarkStart w:id="49" w:name="_Toc518331311"/>
      <w:bookmarkEnd w:id="49"/>
      <w:r>
        <w:rPr/>
        <w:t>Obszary i obiekty chronione na podstawie przepisów o ochronie przyrody</w:t>
      </w:r>
    </w:p>
    <w:p>
      <w:pPr>
        <w:pStyle w:val="Nagwek3"/>
        <w:numPr>
          <w:ilvl w:val="2"/>
          <w:numId w:val="2"/>
        </w:numPr>
        <w:ind w:hanging="851"/>
        <w:rPr/>
      </w:pPr>
      <w:bookmarkStart w:id="50" w:name="_Toc518331312"/>
      <w:bookmarkEnd w:id="50"/>
      <w:r>
        <w:rPr/>
        <w:t>Sieć obszarów Natura 2000</w:t>
      </w:r>
    </w:p>
    <w:p>
      <w:pPr>
        <w:pStyle w:val="Normal"/>
        <w:rPr>
          <w:szCs w:val="24"/>
        </w:rPr>
      </w:pPr>
      <w:r>
        <w:rPr>
          <w:szCs w:val="24"/>
        </w:rPr>
        <w:t xml:space="preserve">Sieć </w:t>
      </w:r>
      <w:r>
        <w:rPr>
          <w:bCs/>
          <w:szCs w:val="24"/>
        </w:rPr>
        <w:t>obszarów</w:t>
      </w:r>
      <w:r>
        <w:rPr>
          <w:szCs w:val="24"/>
        </w:rPr>
        <w:t xml:space="preserve"> NATURA 2000 zostały wyznaczone zgodnie z obowiązującymi przepisami </w:t>
      </w:r>
      <w:r>
        <w:rPr>
          <w:rStyle w:val="Wyrnienie"/>
          <w:i w:val="false"/>
          <w:szCs w:val="24"/>
          <w:shd w:fill="FFFFFF" w:val="clear"/>
        </w:rPr>
        <w:t xml:space="preserve">Dyrektywy Parlamentu Europejskiego i Rady 2009/147/WE z dnia 30 listopada 2009 r. </w:t>
      </w:r>
      <w:r>
        <w:rPr>
          <w:rStyle w:val="Wyrnienie"/>
          <w:szCs w:val="24"/>
          <w:shd w:fill="FFFFFF" w:val="clear"/>
        </w:rPr>
        <w:t>w sprawie ochrony dzikiego ptactwa</w:t>
      </w:r>
      <w:r>
        <w:rPr>
          <w:szCs w:val="24"/>
        </w:rPr>
        <w:t xml:space="preserve">, wcześniej Dyrektywy Rady Wspólnot Europejskich 79/409/EWG z dnia 2 kwietnia 1979 roku </w:t>
      </w:r>
      <w:r>
        <w:rPr>
          <w:i/>
          <w:szCs w:val="24"/>
        </w:rPr>
        <w:t xml:space="preserve">w sprawie ochrony </w:t>
      </w:r>
      <w:r>
        <w:rPr>
          <w:rStyle w:val="Wyrnienie"/>
          <w:szCs w:val="24"/>
          <w:shd w:fill="FFFFFF" w:val="clear"/>
        </w:rPr>
        <w:t>dzikiego ptactwa</w:t>
      </w:r>
      <w:r>
        <w:rPr>
          <w:szCs w:val="24"/>
        </w:rPr>
        <w:t xml:space="preserve"> - tzw. Dyrektywy Ptasiej oraz Dyrektywy Rady Wspólnot Europejskich 92/43/EWG z dnia 21 maja 1992 roku </w:t>
      </w:r>
      <w:r>
        <w:rPr>
          <w:i/>
          <w:szCs w:val="24"/>
        </w:rPr>
        <w:t>w sprawie ochrony siedlisk naturalnych oraz dzikiej fauny i flory</w:t>
      </w:r>
      <w:r>
        <w:rPr>
          <w:szCs w:val="24"/>
        </w:rPr>
        <w:t xml:space="preserve"> - tzw. Dyrektywy Siedliskowej.        </w:t>
      </w:r>
    </w:p>
    <w:p>
      <w:pPr>
        <w:pStyle w:val="Normal"/>
        <w:rPr>
          <w:szCs w:val="24"/>
        </w:rPr>
      </w:pPr>
      <w:r>
        <w:rPr>
          <w:szCs w:val="24"/>
        </w:rPr>
        <w:t xml:space="preserve">W sieć obszarów NATURA 2000 wchodzą obszary specjalnej ochrony ptaków (OSO), wyznaczone Rozporządzeniem Ministra Środowiska z dnia 21 lipca 2004 r. w sprawie specjalnej ochrony ptaków (Dz.U. 229.2313, Dz.U.2007.179.1275 oraz Dz.U.2008.198.1226), zastąpionym obowiązującym obecnie Rozporządzeniem Ministra Środowiska z dnia 12 stycznia 2011r. (Dz.U.25.133 wraz z późn. zm.), oraz obszary mające znaczenie dla Wspólnoty (OZW), zawarte w decyzjach wykonawczych Komisji z dnia 26 listopada 2015 r.: 2015/2369/UE w sprawie przyjęcia siódmego zaktualizowanego wykazu terenów mających znaczenie dla Wspólnoty składających się na kontynentalny region biogeograficzny [C(2015) 8191] oraz 2015/2370/UE w sprawie przyjęcia siódmego zaktualizowanego wykazu terenów mających znaczenie dla Wspólnoty składających się na alpejski region biogeograficzny [C(2015) 8206]). Kolejne coroczne decyzje Komisji Europejskiej w sprawie wykazów terenów mających znaczenia dla Wspólnoty nie wprowadziły zmian dotyczących ostoi położnych w granicach województwa śląskiego. Obszary Natura 2000 położone na terenie zlewni lub w części zlewni Soły  przedstawia poniższa tabela. </w:t>
      </w:r>
    </w:p>
    <w:p>
      <w:pPr>
        <w:pStyle w:val="Normal"/>
        <w:spacing w:lineRule="auto" w:line="360"/>
        <w:rPr>
          <w:szCs w:val="24"/>
        </w:rPr>
      </w:pPr>
      <w:r>
        <w:rPr>
          <w:szCs w:val="24"/>
        </w:rPr>
      </w:r>
    </w:p>
    <w:p>
      <w:pPr>
        <w:pStyle w:val="Caption"/>
        <w:keepNext/>
        <w:spacing w:before="0" w:after="120"/>
        <w:jc w:val="left"/>
        <w:rPr/>
      </w:pPr>
      <w:r>
        <w:rPr/>
        <w:t xml:space="preserve">Tabela </w:t>
      </w:r>
      <w:r>
        <w:rPr/>
        <w:fldChar w:fldCharType="begin"/>
      </w:r>
      <w:r>
        <w:instrText> SEQ Tabela \* ARABIC </w:instrText>
      </w:r>
      <w:r>
        <w:fldChar w:fldCharType="separate"/>
      </w:r>
      <w:r>
        <w:t>13</w:t>
      </w:r>
      <w:r>
        <w:fldChar w:fldCharType="end"/>
      </w:r>
      <w:r>
        <w:rPr/>
        <w:t>.</w:t>
      </w:r>
      <w:r>
        <w:rPr>
          <w:b w:val="false"/>
        </w:rPr>
        <w:t xml:space="preserve"> Obszary sieci Natura 2000 znajdujące się na terenie zlewni Soły</w:t>
      </w:r>
    </w:p>
    <w:tbl>
      <w:tblPr>
        <w:tblW w:w="9356" w:type="dxa"/>
        <w:jc w:val="left"/>
        <w:tblInd w:w="10" w:type="dxa"/>
        <w:tblBorders>
          <w:top w:val="single" w:sz="4" w:space="0" w:color="000001"/>
          <w:left w:val="single" w:sz="4" w:space="0" w:color="000001"/>
          <w:bottom w:val="single" w:sz="4" w:space="0" w:color="000001"/>
          <w:insideH w:val="single" w:sz="4" w:space="0" w:color="000001"/>
        </w:tblBorders>
        <w:tblCellMar>
          <w:top w:w="0" w:type="dxa"/>
          <w:left w:w="5" w:type="dxa"/>
          <w:bottom w:w="0" w:type="dxa"/>
          <w:right w:w="10" w:type="dxa"/>
        </w:tblCellMar>
        <w:tblLook w:firstRow="0" w:noVBand="0" w:lastRow="0" w:firstColumn="0" w:lastColumn="0" w:noHBand="0" w:val="0000"/>
      </w:tblPr>
      <w:tblGrid>
        <w:gridCol w:w="566"/>
        <w:gridCol w:w="852"/>
        <w:gridCol w:w="1701"/>
        <w:gridCol w:w="3544"/>
        <w:gridCol w:w="2693"/>
      </w:tblGrid>
      <w:tr>
        <w:trPr>
          <w:tblHeader w:val="true"/>
          <w:trHeight w:val="60" w:hRule="atLeast"/>
          <w:cantSplit w:val="true"/>
        </w:trPr>
        <w:tc>
          <w:tcPr>
            <w:tcW w:w="566" w:type="dxa"/>
            <w:tcBorders>
              <w:top w:val="single" w:sz="4" w:space="0" w:color="000001"/>
              <w:left w:val="single" w:sz="4" w:space="0" w:color="000001"/>
              <w:bottom w:val="single" w:sz="4" w:space="0" w:color="000001"/>
              <w:insideH w:val="single" w:sz="4" w:space="0" w:color="000001"/>
            </w:tcBorders>
            <w:shd w:color="auto" w:fill="D9D9D9" w:val="clear"/>
            <w:tcMar>
              <w:left w:w="5"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Lp.</w:t>
            </w:r>
          </w:p>
        </w:tc>
        <w:tc>
          <w:tcPr>
            <w:tcW w:w="852" w:type="dxa"/>
            <w:tcBorders>
              <w:top w:val="single" w:sz="4" w:space="0" w:color="000001"/>
              <w:left w:val="single" w:sz="4" w:space="0" w:color="000001"/>
              <w:bottom w:val="single" w:sz="4" w:space="0" w:color="000001"/>
              <w:insideH w:val="single" w:sz="4" w:space="0" w:color="000001"/>
            </w:tcBorders>
            <w:shd w:color="auto" w:fill="D9D9D9" w:val="clear"/>
            <w:tcMar>
              <w:left w:w="5"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Typ</w:t>
            </w:r>
          </w:p>
        </w:tc>
        <w:tc>
          <w:tcPr>
            <w:tcW w:w="1701" w:type="dxa"/>
            <w:tcBorders>
              <w:top w:val="single" w:sz="4" w:space="0" w:color="000001"/>
              <w:left w:val="single" w:sz="4" w:space="0" w:color="000001"/>
              <w:bottom w:val="single" w:sz="4" w:space="0" w:color="000001"/>
              <w:insideH w:val="single" w:sz="4" w:space="0" w:color="000001"/>
            </w:tcBorders>
            <w:shd w:color="auto" w:fill="D9D9D9" w:val="clear"/>
            <w:tcMar>
              <w:left w:w="5"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Kod</w:t>
            </w:r>
          </w:p>
        </w:tc>
        <w:tc>
          <w:tcPr>
            <w:tcW w:w="3544" w:type="dxa"/>
            <w:tcBorders>
              <w:top w:val="single" w:sz="4" w:space="0" w:color="000001"/>
              <w:left w:val="single" w:sz="4" w:space="0" w:color="000001"/>
              <w:bottom w:val="single" w:sz="4" w:space="0" w:color="000001"/>
              <w:insideH w:val="single" w:sz="4" w:space="0" w:color="000001"/>
            </w:tcBorders>
            <w:shd w:color="auto" w:fill="D9D9D9" w:val="clear"/>
            <w:tcMar>
              <w:left w:w="5"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Nazwa</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D9D9D9" w:val="clear"/>
            <w:tcMar>
              <w:left w:w="5"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Powierzchnia [ha] *</w:t>
            </w:r>
          </w:p>
        </w:tc>
      </w:tr>
      <w:tr>
        <w:trPr>
          <w:trHeight w:val="227" w:hRule="atLeast"/>
          <w:cantSplit w:val="true"/>
        </w:trPr>
        <w:tc>
          <w:tcPr>
            <w:tcW w:w="9356"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Normal"/>
              <w:spacing w:before="40" w:after="40"/>
              <w:rPr>
                <w:rFonts w:ascii="Arial" w:hAnsi="Arial" w:cs="Arial"/>
                <w:iCs/>
                <w:sz w:val="18"/>
                <w:szCs w:val="18"/>
              </w:rPr>
            </w:pPr>
            <w:r>
              <w:rPr>
                <w:rFonts w:cs="Arial" w:ascii="Arial" w:hAnsi="Arial"/>
                <w:sz w:val="18"/>
                <w:szCs w:val="18"/>
              </w:rPr>
              <w:t>ZLEWNIA RZEKI SOŁY</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t>3</w:t>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B</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PLH240006</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7" w:firstLine="397"/>
              <w:rPr>
                <w:rFonts w:ascii="Arial" w:hAnsi="Arial" w:cs="Arial"/>
                <w:color w:val="000000"/>
                <w:sz w:val="18"/>
                <w:szCs w:val="18"/>
              </w:rPr>
            </w:pPr>
            <w:r>
              <w:rPr>
                <w:rFonts w:cs="Arial" w:ascii="Arial" w:hAnsi="Arial"/>
                <w:color w:val="000000"/>
                <w:sz w:val="18"/>
                <w:szCs w:val="18"/>
              </w:rPr>
              <w:t>Beskid Żywiecki SOO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35276,1</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t>3</w:t>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A</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PLB240002</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7" w:firstLine="397"/>
              <w:rPr>
                <w:rFonts w:ascii="Arial" w:hAnsi="Arial" w:cs="Arial"/>
                <w:color w:val="000000"/>
                <w:sz w:val="18"/>
                <w:szCs w:val="18"/>
              </w:rPr>
            </w:pPr>
            <w:r>
              <w:rPr>
                <w:rFonts w:cs="Arial" w:ascii="Arial" w:hAnsi="Arial"/>
                <w:color w:val="000000"/>
                <w:sz w:val="18"/>
                <w:szCs w:val="18"/>
              </w:rPr>
              <w:t>Beskid Żywiecki OSO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34988,8</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t>3</w:t>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K</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PLH120083</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7" w:firstLine="397"/>
              <w:rPr>
                <w:rFonts w:ascii="Arial" w:hAnsi="Arial" w:cs="Arial"/>
                <w:color w:val="000000"/>
                <w:sz w:val="18"/>
                <w:szCs w:val="18"/>
              </w:rPr>
            </w:pPr>
            <w:r>
              <w:rPr>
                <w:rFonts w:cs="Arial" w:ascii="Arial" w:hAnsi="Arial"/>
                <w:color w:val="000000"/>
                <w:sz w:val="18"/>
                <w:szCs w:val="18"/>
              </w:rPr>
              <w:t>Dolna Soła SOO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501</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B</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PLH240007</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7" w:firstLine="397"/>
              <w:rPr>
                <w:rFonts w:ascii="Arial" w:hAnsi="Arial" w:cs="Arial"/>
                <w:color w:val="000000"/>
                <w:sz w:val="18"/>
                <w:szCs w:val="18"/>
              </w:rPr>
            </w:pPr>
            <w:r>
              <w:rPr>
                <w:rFonts w:cs="Arial" w:ascii="Arial" w:hAnsi="Arial"/>
                <w:color w:val="000000"/>
                <w:sz w:val="18"/>
                <w:szCs w:val="18"/>
              </w:rPr>
              <w:t>Kościół w Radziechowach SOO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0,06</w:t>
            </w:r>
          </w:p>
        </w:tc>
      </w:tr>
      <w:tr>
        <w:trPr>
          <w:trHeight w:val="227" w:hRule="atLeast"/>
          <w:cantSplit w:val="true"/>
        </w:trPr>
        <w:tc>
          <w:tcPr>
            <w:tcW w:w="9356"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Normal"/>
              <w:spacing w:before="40" w:after="40"/>
              <w:rPr>
                <w:rFonts w:ascii="Arial" w:hAnsi="Arial" w:cs="Arial"/>
                <w:iCs/>
                <w:sz w:val="18"/>
                <w:szCs w:val="18"/>
              </w:rPr>
            </w:pPr>
            <w:r>
              <w:rPr>
                <w:rFonts w:cs="Arial" w:ascii="Arial" w:hAnsi="Arial"/>
                <w:sz w:val="18"/>
                <w:szCs w:val="18"/>
              </w:rPr>
              <w:t>ZLEWNIE RZEK SOŁY, WISŁY</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t>3</w:t>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B</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PLH240023</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7" w:firstLine="397"/>
              <w:rPr>
                <w:rFonts w:ascii="Arial" w:hAnsi="Arial" w:cs="Arial"/>
                <w:color w:val="000000"/>
                <w:sz w:val="18"/>
                <w:szCs w:val="18"/>
              </w:rPr>
            </w:pPr>
            <w:r>
              <w:rPr>
                <w:rFonts w:cs="Arial" w:ascii="Arial" w:hAnsi="Arial"/>
                <w:color w:val="000000"/>
                <w:sz w:val="18"/>
                <w:szCs w:val="18"/>
              </w:rPr>
              <w:t>Beskid Mały SOO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7186,2</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t>3</w:t>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A</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PLB120004</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7" w:firstLine="397"/>
              <w:rPr>
                <w:rFonts w:ascii="Arial" w:hAnsi="Arial" w:cs="Arial"/>
                <w:color w:val="000000"/>
                <w:sz w:val="18"/>
                <w:szCs w:val="18"/>
              </w:rPr>
            </w:pPr>
            <w:r>
              <w:rPr>
                <w:rFonts w:cs="Arial" w:ascii="Arial" w:hAnsi="Arial"/>
                <w:color w:val="000000"/>
                <w:sz w:val="18"/>
                <w:szCs w:val="18"/>
              </w:rPr>
              <w:t>Dolina Dolnej Soły OSO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4023,6</w:t>
            </w:r>
          </w:p>
        </w:tc>
      </w:tr>
      <w:tr>
        <w:trPr>
          <w:trHeight w:val="227" w:hRule="atLeast"/>
          <w:cantSplit w:val="true"/>
        </w:trPr>
        <w:tc>
          <w:tcPr>
            <w:tcW w:w="9356"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Normal"/>
              <w:spacing w:before="40" w:after="40"/>
              <w:rPr>
                <w:rFonts w:ascii="Arial" w:hAnsi="Arial" w:cs="Arial"/>
                <w:iCs/>
                <w:sz w:val="18"/>
                <w:szCs w:val="18"/>
              </w:rPr>
            </w:pPr>
            <w:r>
              <w:rPr>
                <w:rFonts w:cs="Arial" w:ascii="Arial" w:hAnsi="Arial"/>
                <w:sz w:val="18"/>
                <w:szCs w:val="18"/>
              </w:rPr>
              <w:t>ZLEWNIE RZEK WISŁA, SOŁA, ODRA</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B</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PLH240005</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8" w:firstLine="397"/>
              <w:rPr>
                <w:rFonts w:ascii="Arial" w:hAnsi="Arial" w:cs="Arial"/>
                <w:color w:val="000000"/>
                <w:sz w:val="18"/>
                <w:szCs w:val="18"/>
              </w:rPr>
            </w:pPr>
            <w:r>
              <w:rPr>
                <w:rFonts w:cs="Arial" w:ascii="Arial" w:hAnsi="Arial"/>
                <w:color w:val="000000"/>
                <w:sz w:val="18"/>
                <w:szCs w:val="18"/>
              </w:rPr>
              <w:t>Beskid Śląski SOO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26405,4</w:t>
            </w:r>
          </w:p>
        </w:tc>
      </w:tr>
    </w:tbl>
    <w:p>
      <w:pPr>
        <w:pStyle w:val="Normal"/>
        <w:ind w:hanging="0"/>
        <w:rPr>
          <w:rFonts w:ascii="Arial" w:hAnsi="Arial" w:cs="Arial"/>
          <w:i/>
          <w:i/>
          <w:sz w:val="16"/>
        </w:rPr>
      </w:pPr>
      <w:r>
        <w:rPr>
          <w:rFonts w:cs="Arial" w:ascii="Arial" w:hAnsi="Arial"/>
          <w:i/>
          <w:sz w:val="16"/>
        </w:rPr>
        <w:t>* powierzchnie jednostkowe obszarów Natura 2000, w tym położonych tylko częściowo w województwie śląskim, podano w całości (Źródło: http://natura2000.gdos.gov.pl/natura2000/)</w:t>
      </w:r>
    </w:p>
    <w:p>
      <w:pPr>
        <w:pStyle w:val="Normal"/>
        <w:spacing w:lineRule="auto" w:line="360"/>
        <w:rPr>
          <w:szCs w:val="24"/>
        </w:rPr>
      </w:pPr>
      <w:r>
        <w:rPr>
          <w:szCs w:val="24"/>
        </w:rPr>
      </w:r>
    </w:p>
    <w:p>
      <w:pPr>
        <w:pStyle w:val="Normal"/>
        <w:rPr>
          <w:szCs w:val="24"/>
        </w:rPr>
      </w:pPr>
      <w:r>
        <w:rPr>
          <w:szCs w:val="24"/>
        </w:rPr>
        <w:t>Odległość terenu opracowania od obszarów chronionych NATURA 2000 jest na tyle duża, że nie występuje bezpośrednie oddziaływanie projektowanej instalacji na tereny chronione. Najbliżej jest SOO Beskid Żywiecki (Masyw Grojca), położony około 1,23 km na wschód.</w:t>
      </w:r>
    </w:p>
    <w:p>
      <w:pPr>
        <w:pStyle w:val="Normal"/>
        <w:rPr>
          <w:sz w:val="22"/>
          <w:szCs w:val="22"/>
        </w:rPr>
      </w:pPr>
      <w:r>
        <w:rPr>
          <w:sz w:val="22"/>
          <w:szCs w:val="22"/>
        </w:rPr>
      </w:r>
    </w:p>
    <w:p>
      <w:pPr>
        <w:pStyle w:val="Nagwek3"/>
        <w:numPr>
          <w:ilvl w:val="2"/>
          <w:numId w:val="2"/>
        </w:numPr>
        <w:ind w:hanging="851"/>
        <w:rPr/>
      </w:pPr>
      <w:bookmarkStart w:id="51" w:name="_Toc518331313"/>
      <w:r>
        <w:rPr/>
        <w:t>Parki krajobrazowe</w:t>
      </w:r>
      <w:bookmarkEnd w:id="51"/>
      <w:r>
        <w:rPr/>
        <w:t xml:space="preserve"> </w:t>
      </w:r>
    </w:p>
    <w:p>
      <w:pPr>
        <w:pStyle w:val="Normal"/>
        <w:rPr>
          <w:szCs w:val="24"/>
        </w:rPr>
      </w:pPr>
      <w:r>
        <w:rPr>
          <w:szCs w:val="24"/>
        </w:rPr>
        <w:t xml:space="preserve">Parki krajobrazowe obejmują obszary chronione ze względu na wartości przyrodnicze, historyczne i kulturowe oraz walory krajobrazowe w celu zachowania, popularyzacji tych wartości w warunkach zrównoważonego rozwoju (art. 16 ust. 1 ustawy z 16 kwietnia 2004 r. </w:t>
      </w:r>
      <w:r>
        <w:rPr>
          <w:i/>
          <w:szCs w:val="24"/>
        </w:rPr>
        <w:t xml:space="preserve">o ochronie przyrody </w:t>
      </w:r>
      <w:r>
        <w:rPr>
          <w:szCs w:val="24"/>
        </w:rPr>
        <w:t>t.j. Dz. U. 2018.142).</w:t>
      </w:r>
    </w:p>
    <w:p>
      <w:pPr>
        <w:pStyle w:val="Normal"/>
        <w:rPr>
          <w:szCs w:val="24"/>
        </w:rPr>
      </w:pPr>
      <w:r>
        <w:rPr>
          <w:szCs w:val="24"/>
        </w:rPr>
        <w:t xml:space="preserve">W Beskidach znajdują się trzy parki krajobrazowe o charakterze górskim: </w:t>
      </w:r>
    </w:p>
    <w:p>
      <w:pPr>
        <w:pStyle w:val="Normal"/>
        <w:numPr>
          <w:ilvl w:val="0"/>
          <w:numId w:val="34"/>
        </w:numPr>
        <w:rPr/>
      </w:pPr>
      <w:r>
        <w:rPr/>
        <w:t>Żywiecki Park Krajobrazowy o powierzchni 35 870 ha, posiadający otulinę o powierzchni 21 790 ha, spełniającą funkcję strefy ochronnej, park położony jest w zlewni Soły,</w:t>
      </w:r>
    </w:p>
    <w:p>
      <w:pPr>
        <w:pStyle w:val="Normal"/>
        <w:numPr>
          <w:ilvl w:val="0"/>
          <w:numId w:val="34"/>
        </w:numPr>
        <w:rPr/>
      </w:pPr>
      <w:r>
        <w:rPr/>
        <w:t>Park Krajobrazowy Beskidu Śląskiego, obejmujący obszar 38 620 ha, otoczony  22 285 ha otuliny, park położony jest w zlewniach Wisły, Soły i Odry,</w:t>
      </w:r>
    </w:p>
    <w:p>
      <w:pPr>
        <w:pStyle w:val="Normal"/>
        <w:numPr>
          <w:ilvl w:val="0"/>
          <w:numId w:val="34"/>
        </w:numPr>
        <w:rPr/>
      </w:pPr>
      <w:r>
        <w:rPr/>
        <w:t>Park Krajobrazowy Beskidu Małego na powierzchni 16 540 ha z otuliną ochronną o powierzchni 10 243 ha (część parku znajduje się na terenie woj. małopolskiego, podano dane dla części w woj. śląskim), park położony jest w zlewniach Wisły, Soły i Skawy.</w:t>
      </w:r>
    </w:p>
    <w:p>
      <w:pPr>
        <w:pStyle w:val="Normal"/>
        <w:rPr>
          <w:szCs w:val="24"/>
        </w:rPr>
      </w:pPr>
      <w:r>
        <w:rPr>
          <w:szCs w:val="24"/>
        </w:rPr>
        <w:t xml:space="preserve">Na terenie powiatu Żywieckiego znajdują się - otulina Żywieckiego Parku Krajobrazowego od strony południowej oraz od północy fragment Parku Krajobrazowego Beskidu Małego wraz z otuliną. Teren inwestycji jest w odległości około 1,38 km od otuliny ŻPK i około 1,12 km od otuliny PKBM w rejonie Jeziora Żywieckiego. Doliny rzek Białej i Soły od strony zachodniej otacza Park Krajobrazowy Beskidu Śląskiego. </w:t>
      </w:r>
    </w:p>
    <w:p>
      <w:pPr>
        <w:pStyle w:val="Normal"/>
        <w:spacing w:lineRule="auto" w:line="360"/>
        <w:rPr>
          <w:szCs w:val="24"/>
        </w:rPr>
      </w:pPr>
      <w:r>
        <w:rPr>
          <w:szCs w:val="24"/>
        </w:rPr>
      </w:r>
    </w:p>
    <w:p>
      <w:pPr>
        <w:pStyle w:val="Tekst"/>
        <w:spacing w:lineRule="auto" w:line="240"/>
        <w:jc w:val="center"/>
        <w:rPr>
          <w:sz w:val="22"/>
          <w:szCs w:val="22"/>
        </w:rPr>
      </w:pPr>
      <w:r>
        <w:rPr/>
        <w:drawing>
          <wp:inline distT="0" distB="0" distL="0" distR="0">
            <wp:extent cx="5835650" cy="4014470"/>
            <wp:effectExtent l="0" t="0" r="0" b="0"/>
            <wp:docPr id="36" name="Obraz18" descr="Z:\rafal\Praca\Klienci\Beskid Żywiec\Mapy\GIS\Kabaty obszary chronio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18" descr="Z:\rafal\Praca\Klienci\Beskid Żywiec\Mapy\GIS\Kabaty obszary chronione.jpeg"/>
                    <pic:cNvPicPr>
                      <a:picLocks noChangeAspect="1" noChangeArrowheads="1"/>
                    </pic:cNvPicPr>
                  </pic:nvPicPr>
                  <pic:blipFill>
                    <a:blip r:embed="rId47"/>
                    <a:srcRect l="660" t="2847" r="1060" b="1560"/>
                    <a:stretch>
                      <a:fillRect/>
                    </a:stretch>
                  </pic:blipFill>
                  <pic:spPr bwMode="auto">
                    <a:xfrm>
                      <a:off x="0" y="0"/>
                      <a:ext cx="5835650" cy="401447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25</w:t>
      </w:r>
      <w:r>
        <w:fldChar w:fldCharType="end"/>
      </w:r>
      <w:r>
        <w:rPr/>
        <w:t>.</w:t>
      </w:r>
      <w:r>
        <w:rPr>
          <w:b w:val="false"/>
        </w:rPr>
        <w:t xml:space="preserve"> Tereny przyrodnicze chronione w rejonie Żywca (opracowanie własne na podstawie danych wektorowych udostępnionych przez Generalną Dyrekcję Ochrony Środowiska)</w:t>
      </w:r>
    </w:p>
    <w:p>
      <w:pPr>
        <w:pStyle w:val="Normal"/>
        <w:rPr>
          <w:szCs w:val="24"/>
        </w:rPr>
      </w:pPr>
      <w:r>
        <w:rPr>
          <w:szCs w:val="24"/>
        </w:rPr>
      </w:r>
    </w:p>
    <w:p>
      <w:pPr>
        <w:pStyle w:val="Normal"/>
        <w:rPr>
          <w:szCs w:val="24"/>
        </w:rPr>
      </w:pPr>
      <w:r>
        <w:rPr>
          <w:szCs w:val="24"/>
        </w:rPr>
        <w:t xml:space="preserve">Odległość planowanego przedsięwzięcia od parków krajobrazowych jest na tyle duża, że nie występuje bezpośrednie oddziaływanie na nie. </w:t>
      </w:r>
    </w:p>
    <w:p>
      <w:pPr>
        <w:pStyle w:val="Normal"/>
        <w:rPr/>
      </w:pPr>
      <w:r>
        <w:rPr/>
      </w:r>
    </w:p>
    <w:p>
      <w:pPr>
        <w:pStyle w:val="Nagwek3"/>
        <w:numPr>
          <w:ilvl w:val="2"/>
          <w:numId w:val="2"/>
        </w:numPr>
        <w:ind w:hanging="851"/>
        <w:rPr/>
      </w:pPr>
      <w:bookmarkStart w:id="52" w:name="_Toc518331314"/>
      <w:bookmarkEnd w:id="52"/>
      <w:r>
        <w:rPr/>
        <w:t>Rezerwat przyrody</w:t>
      </w:r>
    </w:p>
    <w:p>
      <w:pPr>
        <w:pStyle w:val="Normal"/>
        <w:rPr>
          <w:szCs w:val="24"/>
        </w:rPr>
      </w:pPr>
      <w:r>
        <w:rPr>
          <w:szCs w:val="24"/>
        </w:rPr>
        <w:t xml:space="preserve"> </w:t>
      </w:r>
      <w:r>
        <w:rPr>
          <w:szCs w:val="24"/>
        </w:rPr>
        <w:t xml:space="preserve">Zgodnie z art. 13 ust. 1 ustawy </w:t>
      </w:r>
      <w:r>
        <w:rPr>
          <w:i/>
          <w:szCs w:val="24"/>
        </w:rPr>
        <w:t>o ochronie przyrody</w:t>
      </w:r>
      <w:r>
        <w:rPr>
          <w:szCs w:val="24"/>
        </w:rPr>
        <w:t xml:space="preserve">, rezerwat przyrody obejmuje obszary zachowane w stanie naturalnym lub mało zmienionym, ekosystemy, ostoje  siedliska przyrodnicze, a także siedliska roślin, siedliska zwierząt i siedliska grzybów oraz twory i składniki przyrody nieożywionej, wyróżniające się szczególnymi wartościami przyrodniczymi, naukowymi, kulturowymi lub walorami krajobrazowymi. </w:t>
      </w:r>
    </w:p>
    <w:p>
      <w:pPr>
        <w:pStyle w:val="Normal"/>
        <w:rPr>
          <w:szCs w:val="24"/>
        </w:rPr>
      </w:pPr>
      <w:r>
        <w:rPr>
          <w:szCs w:val="24"/>
        </w:rPr>
        <w:t>W Żywcu utworzono rezerwat przyrody Grapa. Rezerwat obejmuje izolowany kompleks leśny o powierzchni 23,23 ha, położony na stromym zboczu, ponad potokami Młynówka i Okiel na północ od stacji kolejowej Żywiec-Sporysz, w przedziale wysokości od 370 do 430 m n.p.m. Na jego terenie występują trzy zespoły roślinności: grąd subkontynentalny (dominujący zespół leśny) z drzewostanem tworzonym przez grab zwyczajny, dąb szypułkowy, lipę drobnolistną, z niewielkim udziałem klonu zwyczajnego, jaworu i jesiona wyniosłego; łęg jesionowy z jarzmianką większą – zespół leśny z drzewostanem tworzonym przez jesiona wyniosłego; zespół życicy trwałej i babki zwyczajnej – zespół nieleśny rozwijający się wzdłuż ścieżek. Doliczono się 11 gatunków wątrobowców, 70 gatunków mchów, 162 gatunków roślin naczyniowych. Jest tu wiele gatunków chronionych flory, m.in. parzydło leśne, kukułka Fuchsa, wawrzynek wilczełyko, skrzyp olbrzymi ale też i fauny.</w:t>
      </w:r>
    </w:p>
    <w:p>
      <w:pPr>
        <w:pStyle w:val="Normal"/>
        <w:rPr>
          <w:szCs w:val="24"/>
        </w:rPr>
      </w:pPr>
      <w:r>
        <w:rPr>
          <w:szCs w:val="24"/>
        </w:rPr>
        <w:t xml:space="preserve">Odległość minimalna terenu inwestycji od rezerwatu przyrody Grapa wynosi około 2,3 km w kierunku wschodnim. Mając na uwadze tę odległość od przedsięwzięcia należy uznać że nie istnieją żadne realne przesłanki wskazujące na możliwość bezpośredniego lub pośredniego oddziaływania przedsięwzięcia na przyrodę rezerwatu. </w:t>
      </w:r>
    </w:p>
    <w:p>
      <w:pPr>
        <w:pStyle w:val="Normal"/>
        <w:rPr>
          <w:szCs w:val="24"/>
        </w:rPr>
      </w:pPr>
      <w:r>
        <w:rPr>
          <w:szCs w:val="24"/>
        </w:rPr>
      </w:r>
    </w:p>
    <w:p>
      <w:pPr>
        <w:pStyle w:val="Nagwek3"/>
        <w:numPr>
          <w:ilvl w:val="2"/>
          <w:numId w:val="2"/>
        </w:numPr>
        <w:ind w:hanging="851"/>
        <w:rPr/>
      </w:pPr>
      <w:bookmarkStart w:id="53" w:name="_Toc518331315"/>
      <w:bookmarkEnd w:id="53"/>
      <w:r>
        <w:rPr/>
        <w:t>Pomniki przyrody</w:t>
      </w:r>
    </w:p>
    <w:p>
      <w:pPr>
        <w:pStyle w:val="Normal"/>
        <w:rPr>
          <w:szCs w:val="24"/>
        </w:rPr>
      </w:pPr>
      <w:r>
        <w:rPr>
          <w:szCs w:val="24"/>
        </w:rPr>
        <w:t xml:space="preserve">     </w:t>
      </w:r>
      <w:r>
        <w:rPr>
          <w:szCs w:val="24"/>
        </w:rPr>
        <w:t>Pomnikami przyrody są 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(art. 40, ust 1 ustawy z 16 kwietnia 2004 r. o ochronie przyrody). Na terenie Żywca największe zgrupowanie drzew pomnikowych (52) jest w Parku Zamkowym, około 1,44 km na wschód od terenu inwestycji. Najbliżej, około 650 m w kierunku wschodnim jest pomnik przyrody Lipa drobnolistna (</w:t>
      </w:r>
      <w:r>
        <w:rPr>
          <w:i/>
          <w:szCs w:val="24"/>
        </w:rPr>
        <w:t>Tilia cordata</w:t>
      </w:r>
      <w:r>
        <w:rPr>
          <w:szCs w:val="24"/>
        </w:rPr>
        <w:t>) o wysokości 25 m i obwodzie 354 cm.</w:t>
      </w:r>
    </w:p>
    <w:p>
      <w:pPr>
        <w:pStyle w:val="Normal"/>
        <w:rPr>
          <w:szCs w:val="24"/>
        </w:rPr>
      </w:pPr>
      <w:r>
        <w:rPr>
          <w:szCs w:val="24"/>
        </w:rPr>
      </w:r>
    </w:p>
    <w:p>
      <w:pPr>
        <w:pStyle w:val="Nagwek3"/>
        <w:numPr>
          <w:ilvl w:val="2"/>
          <w:numId w:val="2"/>
        </w:numPr>
        <w:ind w:hanging="851"/>
        <w:rPr/>
      </w:pPr>
      <w:bookmarkStart w:id="54" w:name="_Toc518331316"/>
      <w:bookmarkEnd w:id="54"/>
      <w:r>
        <w:rPr/>
        <w:t>Inne formy ochrony</w:t>
      </w:r>
    </w:p>
    <w:p>
      <w:pPr>
        <w:pStyle w:val="Normal"/>
        <w:rPr>
          <w:szCs w:val="24"/>
        </w:rPr>
      </w:pPr>
      <w:r>
        <w:rPr>
          <w:szCs w:val="24"/>
        </w:rPr>
        <w:t xml:space="preserve">W zlewni Soły nie ma obszaru chronionego krajobrazu, zespołów przyrodniczo-krajobrazowych, użytków ekologicznych czy stanowisk dokumentacyjnych.      </w:t>
      </w:r>
    </w:p>
    <w:p>
      <w:pPr>
        <w:pStyle w:val="Normal"/>
        <w:rPr>
          <w:szCs w:val="24"/>
        </w:rPr>
      </w:pPr>
      <w:r>
        <w:rPr>
          <w:szCs w:val="24"/>
        </w:rPr>
        <w:t xml:space="preserve">Formą ochrony przyrody, wymienioną w art. 6, ust 1 ustawy z 16 kwietnia 2004 r. </w:t>
      </w:r>
      <w:r>
        <w:rPr>
          <w:i/>
          <w:szCs w:val="24"/>
        </w:rPr>
        <w:t>o ochronie przyrody</w:t>
      </w:r>
      <w:r>
        <w:rPr>
          <w:szCs w:val="24"/>
        </w:rPr>
        <w:t xml:space="preserve"> jest także ochrona gatunkowa roślin, zwierząt i grzybów. Ochrona gatunkowa ma na celu zapewnienie przetrwania i właściwego stanu ochrony dziko występujących na terenie kraju lub innych państw członkowskich Unii Europejskiej rzadkich, endemicznych, podatnych na zagrożenia i zagrożonych wyginięciem oraz objętych ochroną na podstawie przepisów umów międzynarodowych, których Rzeczpospolita Polska jest stroną, gatunków roślin, zwierząt i grzybów oraz ich siedlisk i ostoi, a także zachowanie różnorodności gatunkowej i genetycznej (art. 46, ust. 2 ww. ustawy). Ochrona gatunkowa realizowana jest w zróżnicowany sposób, przewidziany obowiązującymi przepisami o ochronie przyrody. Gatunki objęte ochroną, zakazy wobec tych gatunków oraz sposoby ochrony określają: Rozporządzenie Ministra Środowiska z dnia 9 października 2014 r. r. </w:t>
      </w:r>
      <w:r>
        <w:rPr>
          <w:i/>
          <w:szCs w:val="24"/>
        </w:rPr>
        <w:t>w sprawie gatunków dziko występujących grzybów objętych ochroną</w:t>
      </w:r>
      <w:r>
        <w:rPr>
          <w:szCs w:val="24"/>
        </w:rPr>
        <w:t xml:space="preserve"> (Dz.U.2014.1408), Rozporządzenie Ministra Środowiska z dnia 16 grudnia 2016 r. (Dz.U.2016.2183) </w:t>
      </w:r>
      <w:r>
        <w:rPr>
          <w:i/>
          <w:szCs w:val="24"/>
        </w:rPr>
        <w:t>w sprawie ochrony gatunkowej zwierząt</w:t>
      </w:r>
      <w:r>
        <w:rPr>
          <w:szCs w:val="24"/>
        </w:rPr>
        <w:t xml:space="preserve"> (Dz.U.2014.1348) oraz Rozporządzenie Ministra Środowiska z dnia 9 października 2014 r. </w:t>
      </w:r>
      <w:r>
        <w:rPr>
          <w:i/>
          <w:szCs w:val="24"/>
        </w:rPr>
        <w:t xml:space="preserve">w sprawie ochrony gatunkowej roślin </w:t>
      </w:r>
      <w:r>
        <w:rPr>
          <w:szCs w:val="24"/>
        </w:rPr>
        <w:t xml:space="preserve">(Dz.U.2014.1409). </w:t>
      </w:r>
    </w:p>
    <w:p>
      <w:pPr>
        <w:pStyle w:val="Normal"/>
        <w:rPr>
          <w:szCs w:val="24"/>
        </w:rPr>
      </w:pPr>
      <w:r>
        <w:rPr>
          <w:szCs w:val="24"/>
        </w:rPr>
        <w:t>Ochroną gatunkową objęte są rośliny w rezerwacie Grapa, na terenie którego stwierdzono obecność 160 gatunków roślin naczyniowych i 12 gatunków prawnie chronionych. Z innych rzadkich osobliwości przyrody warto wymienić stanowiska owadożernej rosiczki (</w:t>
      </w:r>
      <w:r>
        <w:rPr>
          <w:i/>
          <w:szCs w:val="24"/>
        </w:rPr>
        <w:t>Drosera</w:t>
      </w:r>
      <w:r>
        <w:rPr>
          <w:szCs w:val="24"/>
        </w:rPr>
        <w:t>) występującej na obszarze Torfowiska Wysokiego na Grojcu oraz stanowiska tojadu lisiego (</w:t>
      </w:r>
      <w:r>
        <w:rPr>
          <w:i/>
          <w:szCs w:val="24"/>
        </w:rPr>
        <w:t>Aconitum lycoctonum</w:t>
      </w:r>
      <w:r>
        <w:rPr>
          <w:szCs w:val="24"/>
        </w:rPr>
        <w:t>) (także na Grojcu), jedynego w Polsce i zaliczanego do roślin ginących. W zespołach leśnych buczyny karpackiej w Karpatach Zachodnich występuje bardzo rzadki żywiec dziewięciolistny (</w:t>
      </w:r>
      <w:r>
        <w:rPr>
          <w:i/>
          <w:szCs w:val="24"/>
        </w:rPr>
        <w:t>Cardamine enneaphyllos</w:t>
      </w:r>
      <w:r>
        <w:rPr>
          <w:szCs w:val="24"/>
        </w:rPr>
        <w:t>).</w:t>
      </w:r>
    </w:p>
    <w:p>
      <w:pPr>
        <w:pStyle w:val="Normal"/>
        <w:rPr>
          <w:szCs w:val="24"/>
        </w:rPr>
      </w:pPr>
      <w:r>
        <w:rPr>
          <w:szCs w:val="24"/>
        </w:rPr>
      </w:r>
    </w:p>
    <w:p>
      <w:pPr>
        <w:pStyle w:val="Nagwek2"/>
        <w:numPr>
          <w:ilvl w:val="1"/>
          <w:numId w:val="2"/>
        </w:numPr>
        <w:ind w:hanging="578"/>
        <w:rPr/>
      </w:pPr>
      <w:bookmarkStart w:id="55" w:name="_Toc518331317"/>
      <w:r>
        <w:rPr/>
        <w:t>Korytarze ekologiczne</w:t>
      </w:r>
      <w:bookmarkEnd w:id="55"/>
      <w:r>
        <w:rPr/>
        <w:t xml:space="preserve">  </w:t>
      </w:r>
    </w:p>
    <w:p>
      <w:pPr>
        <w:pStyle w:val="Normal"/>
        <w:rPr/>
      </w:pPr>
      <w:r>
        <w:rPr/>
        <w:t>Zachowanie funkcjonalnej ciągłości struktur ekologicznych i krajobrazu, powinno zostać uwzględnione w planach zagospodarowania przestrzennego na wszystkich poziomach administracyjnych, możliwe jest poprzez zidentyfikowanie i zachowanie korytarzy ekologicznych, jako elementów szeroko ujętej tzw. zielonej i niebieskiej infrastruktury</w:t>
      </w:r>
      <w:r>
        <w:rPr>
          <w:rStyle w:val="Zakotwiczenieprzypisudolnego"/>
        </w:rPr>
        <w:footnoteReference w:id="11"/>
      </w:r>
      <w:r>
        <w:rPr/>
        <w:t xml:space="preserve">. Na obszarze województwa śląskiego, w oparciu o analizy topografii i zagospodarowania terenu oraz wykorzystywania przestrzeni przez wskaźnikowe, tj. zagrożone, o dużych wymaganiach przestrzennych, gatunki kręgowców wyznaczono korytarze ekologiczne dla poszczególnych grup zwierząt. Określono lokalizację korytarzy, przystanków pośrednich oraz ostoi i obszarów węzłowych. Uwzględniając trasy migracji zwierząt na terenie województwa, a także poza jego granicami zaklasyfikowano korytarze według rangi o znaczeniu regionalnym i ponadregionalnym. Określono ponadto zagrożenia i wytyczne dla ochrony, udrażniania i zagospodarowania korytarzy ekologicznych. Projekt sieci korytarzy w województwie śląskim ma charakter koncepcji przygotowanej do planu zagospodarowania przestrzennego województwa: </w:t>
      </w:r>
    </w:p>
    <w:p>
      <w:pPr>
        <w:pStyle w:val="Normal"/>
        <w:numPr>
          <w:ilvl w:val="0"/>
          <w:numId w:val="34"/>
        </w:numPr>
        <w:rPr/>
      </w:pPr>
      <w:r>
        <w:rPr/>
        <w:t>Korytarze ichtiologiczne stanowią rzeki będące siedliskiem 32 wskaźnikowych gatunków ryb, zarówno dwuśrodowiskowych (diadromicznych) jak i daleko wędrujących jednośrodowiskowych (potadromicznych), wymienionych w Czerwonej liście słodkowodnej ichtiofauny Polski (Witkowski i in., 1999). Dokonano klasyfikacji korytarzy ze względu na rzędowość hydrologiczną dopływów i stan ich ciągłości ekologicznej. Zidentyfikowano 11 korytarzy o znaczeniu ponadregionalnym i 15 o znaczeniu regionalnym, których łączna długość wynosi 3 923 km, a także 26 ostoi ichtiologicznych.</w:t>
      </w:r>
    </w:p>
    <w:p>
      <w:pPr>
        <w:pStyle w:val="Normal"/>
        <w:numPr>
          <w:ilvl w:val="0"/>
          <w:numId w:val="34"/>
        </w:numPr>
        <w:rPr/>
      </w:pPr>
      <w:r>
        <w:rPr/>
        <w:t>Korytarze herpetologiczne i przystanki pośrednie wyznaczono dla 23 chronionych gatunków płazów i gadów. Wytypowano 4 korytarze i przystanki pośrednie o znaczeniu ponadregionalnym oraz 18 o znaczeniu regionalnym, które łącznie zajmują powierzchnię 5 338 km</w:t>
      </w:r>
      <w:r>
        <w:rPr>
          <w:vertAlign w:val="superscript"/>
        </w:rPr>
        <w:t>2</w:t>
      </w:r>
      <w:r>
        <w:rPr/>
        <w:t xml:space="preserve"> . </w:t>
      </w:r>
    </w:p>
    <w:p>
      <w:pPr>
        <w:pStyle w:val="Normal"/>
        <w:numPr>
          <w:ilvl w:val="0"/>
          <w:numId w:val="34"/>
        </w:numPr>
        <w:rPr/>
      </w:pPr>
      <w:r>
        <w:rPr/>
        <w:t>Korytarze ornitologiczne obejmują szlaki migracji ptaków oraz przystanki pośrednie dla 22 lęgowych i 18 przelotnych gatunków wskaźnikowych, ujętych w Polskiej czerwonej księdze zwierząt (Głowaciński, 2001). Wyznaczono 4 korytarze i 7 przystanków pośrednich o znaczeniu ponadregionalnym oraz 12 korytarzy i 11 przystanków pośrednich o znaczeniu regionalnym, które zajmują łącznie powierzchnię 5 356 km</w:t>
      </w:r>
      <w:r>
        <w:rPr>
          <w:vertAlign w:val="superscript"/>
        </w:rPr>
        <w:t>2</w:t>
      </w:r>
      <w:r>
        <w:rPr/>
        <w:t xml:space="preserve">. </w:t>
      </w:r>
    </w:p>
    <w:p>
      <w:pPr>
        <w:pStyle w:val="Normal"/>
        <w:numPr>
          <w:ilvl w:val="0"/>
          <w:numId w:val="34"/>
        </w:numPr>
        <w:rPr/>
      </w:pPr>
      <w:r>
        <w:rPr/>
        <w:t>Korytarze teriologiczne wytypowano biorąc pod uwagę 3 gatunki wskaźnikowe: wilka, rysia i jelenia oraz sarnę i dzika, jako gatunki pomocnicze. Korytarze migracyjne tych ssaków to struktury liniowe łączące obszary węzłowe, dogodne dla bytowania poszczególnych subpopulacji analizowanych gatunków. Wykorzystano także wcześniejsze dane Jędrzejewskiego i in. (2005). Dla dużych ssaków drapieżnych wyznaczono 12 korytarzy oraz 7 obszarów węzłowych, natomiast dla ssaków kopytnych – 25 korytarzy i 12 obszarów węzłowych. Łączna powierzchnia korytarzy teriologicznych wynosi 7 531 km</w:t>
      </w:r>
      <w:r>
        <w:rPr>
          <w:vertAlign w:val="superscript"/>
        </w:rPr>
        <w:t>2</w:t>
      </w:r>
      <w:r>
        <w:rPr/>
        <w:t xml:space="preserve">. </w:t>
      </w:r>
    </w:p>
    <w:p>
      <w:pPr>
        <w:pStyle w:val="Normal"/>
        <w:rPr/>
      </w:pPr>
      <w:r>
        <w:rPr/>
        <w:t>Sieć korytarzy ekologicznych uzupełniono o 46 korytarzy spójności łączących wybrane 120 obszary chronione (parki krajobrazowe, rezerwaty przyrody, obszary chronionego krajobrazu, obszary Natura 2000, zespoły przyrodniczo-krajobrazowe), które zajmują ponad 21% powierzchni województwa. Ze względu na rangę obszarów, wytypowano 22 korytarze o znaczeniu międzynarodowym, 18 o znaczeniu krajowym i 6 o znaczeniu regionalnym, a ich łączna powierzchnia wynosi 764 km</w:t>
      </w:r>
      <w:r>
        <w:rPr>
          <w:vertAlign w:val="superscript"/>
        </w:rPr>
        <w:t>2</w:t>
      </w:r>
      <w:r>
        <w:rPr/>
        <w:t xml:space="preserve">. </w:t>
      </w:r>
    </w:p>
    <w:p>
      <w:pPr>
        <w:pStyle w:val="Normal"/>
        <w:rPr>
          <w:rStyle w:val="Strong"/>
          <w:b w:val="false"/>
          <w:b w:val="false"/>
          <w:bCs w:val="false"/>
          <w:sz w:val="18"/>
          <w:szCs w:val="18"/>
        </w:rPr>
      </w:pPr>
      <w:r>
        <w:rPr/>
        <w:t>W rejonie Żywca wyznaczono korytarze ekologiczne ptaków, ssaków drapieżnych oraz korytarze spójności obszarów chronionych. Korytarze ptasie Zbiornika Żywieckiego i Lasów Beskidu Śląsko-Żywieckiego mają rangę ponadregionalną, korytarz ssaków drapieżnych Beskidu Żywieckiego ma charakter ostoi. Beskid Żywiecki – Grapa, dolina Soły i dolina Koszarawy mają znaczenie spójności obszarów chronionych. Od strony północnej Zbiornika Żywieckiego wyznaczono obszar węzłowy korytarza ssaków kopytnych.</w:t>
      </w:r>
    </w:p>
    <w:p>
      <w:pPr>
        <w:pStyle w:val="Normal"/>
        <w:rPr>
          <w:bCs/>
        </w:rPr>
      </w:pPr>
      <w:r>
        <w:rPr/>
        <w:t>Mapa przebiegu korytarzy ekologicznych  łączących Europejską Sieć Natura 2000 w Polsce   opracowana została przez Zakład Badania Ssaków PAN w Białowieży (obecnie Instytut Biologii Ssaków) pod kierownictwem prof. dr. hab. Włodzimierza Jędrzejewskiego. Głównym założeniem merytorycznym było opracowanie mapy korytarzy o charakterze multifunkcjonalnym - przeznaczonych dla możliwie największej liczby gatunków i łączących różnorodne siedliska przyrodnicze, zwłaszcza podlegające ochronie w ramach sieci Natura 2000.</w:t>
      </w:r>
    </w:p>
    <w:p>
      <w:pPr>
        <w:pStyle w:val="Normal"/>
        <w:spacing w:lineRule="auto" w:line="360"/>
        <w:rPr>
          <w:rStyle w:val="Strong"/>
          <w:b w:val="false"/>
          <w:b w:val="false"/>
          <w:bCs w:val="false"/>
        </w:rPr>
      </w:pPr>
      <w:r>
        <w:rPr>
          <w:b w:val="false"/>
          <w:bCs w:val="false"/>
        </w:rPr>
      </w:r>
    </w:p>
    <w:p>
      <w:pPr>
        <w:pStyle w:val="Normal"/>
        <w:ind w:hanging="0"/>
        <w:jc w:val="center"/>
        <w:rPr>
          <w:rStyle w:val="Strong"/>
          <w:b w:val="false"/>
          <w:b w:val="false"/>
          <w:highlight w:val="white"/>
        </w:rPr>
      </w:pPr>
      <w:r>
        <w:rPr/>
        <w:drawing>
          <wp:inline distT="19050" distB="8255" distL="19050" distR="0">
            <wp:extent cx="5552440" cy="3096895"/>
            <wp:effectExtent l="0" t="0" r="0" b="0"/>
            <wp:docPr id="37" name="Obraz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26" descr=""/>
                    <pic:cNvPicPr>
                      <a:picLocks noChangeAspect="1" noChangeArrowheads="1"/>
                    </pic:cNvPicPr>
                  </pic:nvPicPr>
                  <pic:blipFill>
                    <a:blip r:embed="rId48"/>
                    <a:stretch>
                      <a:fillRect/>
                    </a:stretch>
                  </pic:blipFill>
                  <pic:spPr bwMode="auto">
                    <a:xfrm>
                      <a:off x="0" y="0"/>
                      <a:ext cx="5552440" cy="309689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26</w:t>
      </w:r>
      <w:r>
        <w:fldChar w:fldCharType="end"/>
      </w:r>
      <w:r>
        <w:rPr/>
        <w:t>.</w:t>
      </w:r>
      <w:r>
        <w:rPr>
          <w:b w:val="false"/>
        </w:rPr>
        <w:t xml:space="preserve"> Korytarze ekologiczne w rejonie Żywca (źródło: Geoportal RDOŚ Katowice)</w:t>
      </w:r>
    </w:p>
    <w:p>
      <w:pPr>
        <w:pStyle w:val="Normal"/>
        <w:spacing w:lineRule="auto" w:line="360"/>
        <w:rPr>
          <w:color w:val="333333"/>
          <w:shd w:fill="FFFFFF" w:val="clear"/>
        </w:rPr>
      </w:pPr>
      <w:r>
        <w:rPr>
          <w:color w:val="333333"/>
          <w:shd w:fill="FFFFFF" w:val="clear"/>
        </w:rPr>
      </w:r>
    </w:p>
    <w:p>
      <w:pPr>
        <w:pStyle w:val="Normal"/>
        <w:ind w:hanging="0"/>
        <w:jc w:val="center"/>
        <w:rPr>
          <w:rStyle w:val="Strong"/>
          <w:b w:val="false"/>
          <w:b w:val="false"/>
          <w:highlight w:val="white"/>
        </w:rPr>
      </w:pPr>
      <w:r>
        <w:rPr/>
        <w:drawing>
          <wp:inline distT="0" distB="0" distL="0" distR="0">
            <wp:extent cx="3928110" cy="3040380"/>
            <wp:effectExtent l="0" t="0" r="0" b="0"/>
            <wp:docPr id="38" name="Obraz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27" descr=""/>
                    <pic:cNvPicPr>
                      <a:picLocks noChangeAspect="1" noChangeArrowheads="1"/>
                    </pic:cNvPicPr>
                  </pic:nvPicPr>
                  <pic:blipFill>
                    <a:blip r:embed="rId49"/>
                    <a:stretch>
                      <a:fillRect/>
                    </a:stretch>
                  </pic:blipFill>
                  <pic:spPr bwMode="auto">
                    <a:xfrm>
                      <a:off x="0" y="0"/>
                      <a:ext cx="3928110" cy="304038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27</w:t>
      </w:r>
      <w:r>
        <w:fldChar w:fldCharType="end"/>
      </w:r>
      <w:r>
        <w:rPr/>
        <w:t>.</w:t>
      </w:r>
      <w:r>
        <w:rPr>
          <w:b w:val="false"/>
        </w:rPr>
        <w:t xml:space="preserve"> Korytarze ekologiczne w rejonie Żywca </w:t>
        <w:br/>
        <w:t>(źródło: Pracownia na rzecz Wszystkich Istot)</w:t>
      </w:r>
    </w:p>
    <w:p>
      <w:pPr>
        <w:pStyle w:val="Normal"/>
        <w:rPr>
          <w:shd w:fill="FFFFFF" w:val="clear"/>
        </w:rPr>
      </w:pPr>
      <w:r>
        <w:rPr>
          <w:shd w:fill="FFFFFF" w:val="clear"/>
        </w:rPr>
      </w:r>
    </w:p>
    <w:p>
      <w:pPr>
        <w:pStyle w:val="Nagwek2"/>
        <w:numPr>
          <w:ilvl w:val="1"/>
          <w:numId w:val="2"/>
        </w:numPr>
        <w:ind w:hanging="578"/>
        <w:rPr/>
      </w:pPr>
      <w:bookmarkStart w:id="56" w:name="_Toc518331318"/>
      <w:r>
        <w:rPr/>
        <w:t>Warunki klimatyczne</w:t>
      </w:r>
      <w:bookmarkEnd w:id="56"/>
      <w:r>
        <w:rPr/>
        <w:t xml:space="preserve"> </w:t>
      </w:r>
    </w:p>
    <w:p>
      <w:pPr>
        <w:pStyle w:val="Normal"/>
        <w:rPr>
          <w:highlight w:val="white"/>
        </w:rPr>
      </w:pPr>
      <w:r>
        <w:rPr>
          <w:shd w:fill="FFFFFF" w:val="clear"/>
        </w:rPr>
        <w:t>Zespół zjawisk i procesów atmosferycznych charakterystycznych dla danego obszaru, kształtujących się pod wpływem właściwości fizycznych i geograficznych tego obszaru, określony na podstawie wyników wieloletnich obserwacji nosi nazwę klimatu. Klimat jest jednym z głównych komponentów środowiska przyrodniczego. Odgrywa on ważną rolę w funkcjonowaniu całego ekosystemu. W naturalnych warunkach klimat kształtowany jest przez grupę czynników radiacyjnych, wilgotnościowych i cyrkulacyjnych, modyfikowanych warunkami lokalnymi. Wszystkie one są wynikiem położenia geograficznego, tzn. szerokości geograficznej, wysokości nad poziom morza, odległości od mórz bądź lądów, usytuowania względem głównych struktur rzeźby kontynentów i rzeźby najbliższego otoczenia, fizycznego charakteru powierzchni terenu oraz rodzaju i stopnia zanieczyszczeń powietrza na danym obszarze. Między jakością powietrza atmosferycznego a warunkami meteorologicznymi istnieje sprzężenie zwrotne. Warunki pogodowe determinują transport substancji w powietrzu atmosferycznym, a z kolei obecność zanieczyszczeń w atmosferze wpływa na pogodę i klimat.</w:t>
      </w:r>
    </w:p>
    <w:p>
      <w:pPr>
        <w:pStyle w:val="Normal"/>
        <w:rPr/>
      </w:pPr>
      <w:r>
        <w:rPr/>
        <w:t xml:space="preserve">Najistotniejszy wpływ na zróżnicowanie warunków klimatycznych w województwie śląskim wywiera ukształtowanie terenu, a zwłaszcza znacząca rozpiętość wysokości nad poziomem morza (od 173 m n.p.m. w pobliżu ujścia Rudy do Odry do 1 543 m n.p.m. w masywie Pilska) i urozmaicona rzeźba terenu. Warunkują one zasadnicze zmiany wartości poszczególnych elementów meteorologicznych na niewielkiej przestrzeni oraz silne zróżnicowanie topoklimatyczne. Klimat województwa śląskiego cechuje się przejściowością pomiędzy klimatem umiarkowanym morskim a kontynentalnym. Kształtowany jest przede wszystkim przez masy powietrza polarno-morskiego napływające z zachodu (60%) oraz masy powietrza polarnokontynentalnego ze wschodu (30%). Przez około 6% dni w roku z północy napływa powietrze arktyczne oraz najrzadziej z południa ciepłe powietrze zwrotnikowe. Wartość średniego rocznego usłonecznienia rzeczywistego w centralnej części województwa wynosi około 1400 h, a na pozostałym obszarze sięga 1500 h. Średnie roczne zachmurzenie nie jest zbyt zróżnicowane przestrzennie i kształtuje się na poziomie 60-70%. Największą średnią roczną liczbę dni pogodnych notuje się w rejonie Cieszyna, a najmniejszą w rejonie Raciborza i Katowic. Na przestrzenny rozkład opadów atmosferycznych silnie wpływają warunki fizycznogeograficzne, głównie zróżnicowana rzeźba terenu. Najwyższe średnie roczne sumy opadów odnotowywane są w Beskidach i kształtują się na poziomie około 1 300 mm. Im bardziej na północ tym omawiane wartości maleją, a w wąskim pasie od Częstochowy do granic województwa, wynoszą poniżej 600 mm na rok.  W województwie śląskim najdłuższy okres wegetacyjny występuje w pasie od Niziny Śląskiej po Kotlinę Oświęcimską (ponad 220 dni), a najkrótszy w Beskidach (około 190 dni). </w:t>
      </w:r>
    </w:p>
    <w:p>
      <w:pPr>
        <w:pStyle w:val="Normal"/>
        <w:rPr>
          <w:highlight w:val="white"/>
        </w:rPr>
      </w:pPr>
      <w:r>
        <w:rPr>
          <w:shd w:fill="FFFFFF" w:val="clear"/>
        </w:rPr>
        <w:t>Poniżej przedstawiono warunki meteorologiczne dla reprezentatywnej stacji PSHM IMGW-PIB Bielsko-Biała z okresu 30-letniego 1981-2010*.</w:t>
      </w:r>
    </w:p>
    <w:p>
      <w:pPr>
        <w:pStyle w:val="Normal"/>
        <w:rPr>
          <w:shd w:fill="FFFFFF" w:val="clear"/>
        </w:rPr>
      </w:pPr>
      <w:r>
        <w:rPr>
          <w:shd w:fill="FFFFFF" w:val="clear"/>
        </w:rPr>
      </w:r>
    </w:p>
    <w:p>
      <w:pPr>
        <w:pStyle w:val="Caption"/>
        <w:keepNext/>
        <w:jc w:val="left"/>
        <w:rPr/>
      </w:pPr>
      <w:r>
        <w:rPr/>
        <w:t xml:space="preserve">Tabela </w:t>
      </w:r>
      <w:r>
        <w:rPr/>
        <w:fldChar w:fldCharType="begin"/>
      </w:r>
      <w:r>
        <w:instrText> SEQ Tabela \* ARABIC </w:instrText>
      </w:r>
      <w:r>
        <w:fldChar w:fldCharType="separate"/>
      </w:r>
      <w:r>
        <w:t>14</w:t>
      </w:r>
      <w:r>
        <w:fldChar w:fldCharType="end"/>
      </w:r>
      <w:r>
        <w:rPr/>
        <w:t>.</w:t>
      </w:r>
      <w:r>
        <w:rPr>
          <w:b w:val="false"/>
        </w:rPr>
        <w:t xml:space="preserve"> Wartości elementów meteorologicznych na stacji hydrometeorologicznej Bielsko-Biała (1981-2010)</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1700"/>
        <w:gridCol w:w="755"/>
        <w:gridCol w:w="754"/>
        <w:gridCol w:w="755"/>
        <w:gridCol w:w="754"/>
        <w:gridCol w:w="755"/>
        <w:gridCol w:w="1190"/>
        <w:gridCol w:w="1134"/>
        <w:gridCol w:w="1558"/>
      </w:tblGrid>
      <w:tr>
        <w:trPr/>
        <w:tc>
          <w:tcPr>
            <w:tcW w:w="17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Stacja meteorologiczna</w:t>
            </w:r>
          </w:p>
        </w:tc>
        <w:tc>
          <w:tcPr>
            <w:tcW w:w="7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t</w:t>
            </w:r>
            <w:r>
              <w:rPr>
                <w:rFonts w:cs="Arial" w:ascii="Arial" w:hAnsi="Arial"/>
                <w:b/>
                <w:color w:val="000000"/>
                <w:sz w:val="18"/>
                <w:szCs w:val="18"/>
                <w:vertAlign w:val="subscript"/>
              </w:rPr>
              <w:t>max</w:t>
            </w:r>
            <w:r>
              <w:rPr>
                <w:rFonts w:cs="Arial" w:ascii="Arial" w:hAnsi="Arial"/>
                <w:b/>
                <w:color w:val="000000"/>
                <w:sz w:val="18"/>
                <w:szCs w:val="18"/>
              </w:rPr>
              <w:t xml:space="preserve"> </w:t>
              <w:br/>
              <w:t>[°C]</w:t>
            </w:r>
          </w:p>
        </w:tc>
        <w:tc>
          <w:tcPr>
            <w:tcW w:w="7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t</w:t>
            </w:r>
            <w:r>
              <w:rPr>
                <w:rFonts w:cs="Arial" w:ascii="Arial" w:hAnsi="Arial"/>
                <w:b/>
                <w:color w:val="000000"/>
                <w:sz w:val="18"/>
                <w:szCs w:val="18"/>
                <w:vertAlign w:val="subscript"/>
              </w:rPr>
              <w:t>min</w:t>
            </w:r>
            <w:r>
              <w:rPr>
                <w:rFonts w:cs="Arial" w:ascii="Arial" w:hAnsi="Arial"/>
                <w:b/>
                <w:color w:val="000000"/>
                <w:sz w:val="18"/>
                <w:szCs w:val="18"/>
              </w:rPr>
              <w:t xml:space="preserve"> </w:t>
              <w:br/>
              <w:t>[°C]</w:t>
            </w:r>
          </w:p>
        </w:tc>
        <w:tc>
          <w:tcPr>
            <w:tcW w:w="7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t</w:t>
            </w:r>
            <w:r>
              <w:rPr>
                <w:rFonts w:cs="Arial" w:ascii="Arial" w:hAnsi="Arial"/>
                <w:b/>
                <w:color w:val="000000"/>
                <w:sz w:val="18"/>
                <w:szCs w:val="18"/>
                <w:vertAlign w:val="subscript"/>
              </w:rPr>
              <w:t>śrR</w:t>
            </w:r>
            <w:r>
              <w:rPr>
                <w:rFonts w:cs="Arial" w:ascii="Arial" w:hAnsi="Arial"/>
                <w:b/>
                <w:color w:val="000000"/>
                <w:sz w:val="18"/>
                <w:szCs w:val="18"/>
              </w:rPr>
              <w:t xml:space="preserve"> </w:t>
              <w:br/>
              <w:t>[°C]</w:t>
            </w:r>
          </w:p>
        </w:tc>
        <w:tc>
          <w:tcPr>
            <w:tcW w:w="7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i/>
                <w:i/>
                <w:sz w:val="18"/>
                <w:highlight w:val="white"/>
              </w:rPr>
            </w:pPr>
            <w:r>
              <w:rPr>
                <w:rFonts w:cs="Arial" w:ascii="Arial" w:hAnsi="Arial"/>
                <w:b/>
                <w:color w:val="000000"/>
                <w:sz w:val="18"/>
                <w:szCs w:val="18"/>
              </w:rPr>
              <w:t xml:space="preserve">V </w:t>
              <w:br/>
              <w:t>[m/s]</w:t>
            </w:r>
          </w:p>
        </w:tc>
        <w:tc>
          <w:tcPr>
            <w:tcW w:w="7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 xml:space="preserve">C </w:t>
              <w:br/>
              <w:t>[%]</w:t>
            </w:r>
          </w:p>
        </w:tc>
        <w:tc>
          <w:tcPr>
            <w:tcW w:w="119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Roczna suma opadów</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Liczba dni z opadem</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Usłonecznienie (Katowice)</w:t>
            </w:r>
          </w:p>
        </w:tc>
      </w:tr>
      <w:tr>
        <w:trPr/>
        <w:tc>
          <w:tcPr>
            <w:tcW w:w="17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sz w:val="18"/>
                <w:highlight w:val="white"/>
              </w:rPr>
            </w:pPr>
            <w:r>
              <w:rPr>
                <w:rFonts w:cs="Arial" w:ascii="Arial" w:hAnsi="Arial"/>
                <w:sz w:val="18"/>
                <w:shd w:fill="FFFFFF" w:val="clear"/>
              </w:rPr>
              <w:t>Bielsko-Biała</w:t>
            </w:r>
          </w:p>
        </w:tc>
        <w:tc>
          <w:tcPr>
            <w:tcW w:w="7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34,2</w:t>
            </w:r>
          </w:p>
        </w:tc>
        <w:tc>
          <w:tcPr>
            <w:tcW w:w="7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-27,4</w:t>
            </w:r>
          </w:p>
        </w:tc>
        <w:tc>
          <w:tcPr>
            <w:tcW w:w="7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9,2</w:t>
            </w:r>
          </w:p>
        </w:tc>
        <w:tc>
          <w:tcPr>
            <w:tcW w:w="7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3,5</w:t>
            </w:r>
          </w:p>
        </w:tc>
        <w:tc>
          <w:tcPr>
            <w:tcW w:w="7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6,6</w:t>
            </w:r>
          </w:p>
        </w:tc>
        <w:tc>
          <w:tcPr>
            <w:tcW w:w="119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970,8</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180,9</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1599,2</w:t>
            </w:r>
          </w:p>
        </w:tc>
      </w:tr>
    </w:tbl>
    <w:p>
      <w:pPr>
        <w:pStyle w:val="Normal"/>
        <w:spacing w:before="60" w:after="0"/>
        <w:ind w:hanging="0"/>
        <w:rPr>
          <w:rFonts w:ascii="Arial" w:hAnsi="Arial" w:cs="Arial"/>
          <w:i/>
          <w:i/>
          <w:sz w:val="16"/>
          <w:szCs w:val="16"/>
          <w:highlight w:val="white"/>
        </w:rPr>
      </w:pPr>
      <w:r>
        <w:rPr>
          <w:rFonts w:cs="Arial" w:ascii="Arial" w:hAnsi="Arial"/>
          <w:sz w:val="16"/>
          <w:szCs w:val="16"/>
          <w:shd w:fill="FFFFFF" w:val="clear"/>
        </w:rPr>
        <w:t xml:space="preserve">* </w:t>
      </w:r>
      <w:r>
        <w:rPr>
          <w:rFonts w:cs="Arial" w:ascii="Arial" w:hAnsi="Arial"/>
          <w:i/>
          <w:sz w:val="16"/>
          <w:szCs w:val="16"/>
          <w:shd w:fill="FFFFFF" w:val="clear"/>
        </w:rPr>
        <w:t xml:space="preserve">usłonecznienie dla stacji Katowic </w:t>
      </w:r>
      <w:r>
        <w:rPr>
          <w:rFonts w:cs="Arial" w:ascii="Arial" w:hAnsi="Arial"/>
          <w:sz w:val="16"/>
          <w:szCs w:val="16"/>
          <w:shd w:fill="FFFFFF" w:val="clear"/>
        </w:rPr>
        <w:t>(</w:t>
      </w:r>
      <w:r>
        <w:rPr>
          <w:rFonts w:cs="Arial" w:ascii="Arial" w:hAnsi="Arial"/>
          <w:i/>
          <w:sz w:val="16"/>
          <w:szCs w:val="16"/>
          <w:shd w:fill="FFFFFF" w:val="clear"/>
        </w:rPr>
        <w:t>źródło: IMGW-PIB)</w:t>
      </w:r>
    </w:p>
    <w:p>
      <w:pPr>
        <w:pStyle w:val="Normal"/>
        <w:shd w:val="clear" w:color="auto" w:fill="FFFFFF"/>
        <w:spacing w:lineRule="auto" w:line="360"/>
        <w:rPr>
          <w:shd w:fill="FFFFFF" w:val="clear"/>
        </w:rPr>
      </w:pPr>
      <w:r>
        <w:rPr>
          <w:shd w:fill="FFFFFF" w:val="clear"/>
        </w:rPr>
      </w:r>
    </w:p>
    <w:p>
      <w:pPr>
        <w:pStyle w:val="Normal"/>
        <w:shd w:val="clear" w:color="auto" w:fill="FFFFFF"/>
        <w:rPr>
          <w:highlight w:val="white"/>
        </w:rPr>
      </w:pPr>
      <w:r>
        <w:rPr>
          <w:shd w:fill="FFFFFF" w:val="clear"/>
        </w:rPr>
        <w:t>Na obszarze środkowej części województwa najczęściej wieje wiatr z sektora południowo-zachodniego (SW) stanowiąc ponad 20% wszystkich przypadków. Na kierunek zachodni (W) przypada niespełna 20%, a północno-zachodni wynosi około 5 - 10%. Frekwencja wiatru z pozostałych kierunków nie przekracza 10%, wyjątek stanowi wschodni kierunek (E), na który przypada około 15% wszystkich przypadków. Największą prędkość ma wiatr z kierunków południowych (S, SW) 5,0 – 5,6 m/s oraz z sektora wschodniego (SE – NE) do około 3,0 m/s.</w:t>
      </w:r>
    </w:p>
    <w:p>
      <w:pPr>
        <w:pStyle w:val="Normal"/>
        <w:spacing w:lineRule="auto" w:line="360"/>
        <w:rPr>
          <w:shd w:fill="FFFFFF" w:val="clear"/>
        </w:rPr>
      </w:pPr>
      <w:r>
        <w:rPr>
          <w:shd w:fill="FFFFFF" w:val="clear"/>
        </w:rPr>
      </w:r>
    </w:p>
    <w:p>
      <w:pPr>
        <w:pStyle w:val="Normal"/>
        <w:shd w:val="clear" w:color="auto" w:fill="FFFFFF"/>
        <w:ind w:hanging="0"/>
        <w:jc w:val="center"/>
        <w:rPr>
          <w:highlight w:val="white"/>
        </w:rPr>
      </w:pPr>
      <w:r>
        <w:rPr/>
        <w:drawing>
          <wp:inline distT="0" distB="0" distL="0" distR="0">
            <wp:extent cx="5952490" cy="2266315"/>
            <wp:effectExtent l="0" t="0" r="0" b="0"/>
            <wp:docPr id="39" name="Obraz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28" descr=""/>
                    <pic:cNvPicPr>
                      <a:picLocks noChangeAspect="1" noChangeArrowheads="1"/>
                    </pic:cNvPicPr>
                  </pic:nvPicPr>
                  <pic:blipFill>
                    <a:blip r:embed="rId50"/>
                    <a:stretch>
                      <a:fillRect/>
                    </a:stretch>
                  </pic:blipFill>
                  <pic:spPr bwMode="auto">
                    <a:xfrm>
                      <a:off x="0" y="0"/>
                      <a:ext cx="5952490" cy="226631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28</w:t>
      </w:r>
      <w:r>
        <w:fldChar w:fldCharType="end"/>
      </w:r>
      <w:r>
        <w:rPr/>
        <w:t>.</w:t>
      </w:r>
      <w:r>
        <w:rPr>
          <w:b w:val="false"/>
        </w:rPr>
        <w:t xml:space="preserve"> Kierunkowa i prędkościowa róża wiatru w Bielsko-Biała (źródło: Stan środowiska w województwie śląskim w 2016 roku WIOŚ Katowice 2017)</w:t>
      </w:r>
    </w:p>
    <w:p>
      <w:pPr>
        <w:pStyle w:val="Normal"/>
        <w:shd w:val="clear" w:color="auto" w:fill="FFFFFF"/>
        <w:rPr>
          <w:shd w:fill="FFFFFF" w:val="clear"/>
        </w:rPr>
      </w:pPr>
      <w:r>
        <w:rPr>
          <w:shd w:fill="FFFFFF" w:val="clear"/>
        </w:rPr>
      </w:r>
    </w:p>
    <w:p>
      <w:pPr>
        <w:pStyle w:val="Normal"/>
        <w:shd w:val="clear" w:color="auto" w:fill="FFFFFF"/>
        <w:rPr>
          <w:rStyle w:val="Strong"/>
          <w:b w:val="false"/>
          <w:b w:val="false"/>
          <w:bCs w:val="false"/>
          <w:sz w:val="19"/>
          <w:szCs w:val="19"/>
        </w:rPr>
      </w:pPr>
      <w:r>
        <w:rPr>
          <w:shd w:fill="FFFFFF" w:val="clear"/>
        </w:rPr>
        <w:t>R</w:t>
      </w:r>
      <w:r>
        <w:rPr/>
        <w:t xml:space="preserve">egionalizacja  klimatyczna  oparta na właściwościach klimatu opisywanych przez średnie wieloletnie wartości elementów meteorologicznych i znaczeniu wymiany energii powierzchni czynnej (W. Okołowicz, D. Martyn 1979) kwalifikuje </w:t>
      </w:r>
      <w:r>
        <w:rPr>
          <w:shd w:fill="FFFFFF" w:val="clear"/>
        </w:rPr>
        <w:t xml:space="preserve">południową część województwa śląskiego do regionu karpackiego o silnym wpływie gór wysokich. </w:t>
      </w:r>
      <w:r>
        <w:rPr/>
        <w:t>Cechuje się on największą, w stosunku do pozostałej części województwa, zmiennością klimatyczną, powodowaną przede wszystkim różnicami wysokości. Ten typ klimatu charakteryzuje się piętrowym przebiegiem podstawowych elementów klimatu (spadkiem średniej rocznej temperatury wraz z wysokością, wzrostem rocznych sum opadów atmosferycznych a także ich zróżnicowaniem w zależności od rzeźby i ekspozycji). W ślad za tymi zjawiskami wydatnie skraca się okres wegetacyjny, a w najwyższych partiach gór nie obserwuje się termicznego lata.</w:t>
      </w:r>
      <w:r>
        <w:rPr>
          <w:sz w:val="19"/>
          <w:szCs w:val="19"/>
        </w:rPr>
        <w:t xml:space="preserve"> </w:t>
      </w:r>
      <w:r>
        <w:rPr/>
        <w:t xml:space="preserve">Powstają zastoiska chłodu i lokalne systemy wiatru. </w:t>
      </w:r>
      <w:r>
        <w:rPr>
          <w:shd w:fill="FFFFFF" w:val="clear"/>
        </w:rPr>
        <w:t>Antropogeniczne modyfikacje klimatu są tu niewielkie i dotyczą głównie kotlin górskich oraz dolin rzek i większych potoków w rejonie Żywca, Wisły, Ustronia i Istebnej.</w:t>
      </w:r>
      <w:r>
        <w:rPr>
          <w:rStyle w:val="Strong"/>
          <w:b w:val="false"/>
          <w:shd w:fill="FFFFFF" w:val="clear"/>
        </w:rPr>
        <w:t xml:space="preserve">  </w:t>
      </w:r>
      <w:r>
        <w:rPr/>
        <w:t xml:space="preserve">Zespół wymienionych cech tworzy na obszarze Beskidów typ klimatu górskiego, z charakterystycznym piętrowym układem stref termiczno-opadowych. </w:t>
      </w:r>
      <w:r>
        <w:rPr>
          <w:rStyle w:val="Strong"/>
          <w:b w:val="false"/>
          <w:shd w:fill="FFFFFF" w:val="clear"/>
        </w:rPr>
        <w:t xml:space="preserve">  </w:t>
      </w:r>
    </w:p>
    <w:p>
      <w:pPr>
        <w:pStyle w:val="Normal"/>
        <w:shd w:val="clear" w:color="auto" w:fill="FFFFFF"/>
        <w:rPr>
          <w:sz w:val="19"/>
          <w:szCs w:val="19"/>
        </w:rPr>
      </w:pPr>
      <w:r>
        <w:rPr/>
        <w:t>Dla górskiej części województwa śląskiego miarodajny jest podział M. Hessa (1962), który dla obszaru Beskidu Śląskiego i Żywieckiego wyróżnił pięć pięter klimatycznych:</w:t>
      </w:r>
    </w:p>
    <w:p>
      <w:pPr>
        <w:pStyle w:val="Normal"/>
        <w:numPr>
          <w:ilvl w:val="0"/>
          <w:numId w:val="34"/>
        </w:numPr>
        <w:ind w:left="714" w:hanging="357"/>
        <w:rPr/>
      </w:pPr>
      <w:r>
        <w:rPr/>
        <w:t>umiarkowanie ciepłe, poniżej 700 m n.p.m., ze średnią roczną temperaturą powietrza wyższą od 6ºC,</w:t>
      </w:r>
    </w:p>
    <w:p>
      <w:pPr>
        <w:pStyle w:val="Normal"/>
        <w:numPr>
          <w:ilvl w:val="0"/>
          <w:numId w:val="34"/>
        </w:numPr>
        <w:ind w:left="714" w:hanging="357"/>
        <w:rPr/>
      </w:pPr>
      <w:r>
        <w:rPr/>
        <w:t>umiarkowanie chłodne, od 700 do 1100 m n.p.m., ze średnią roczną temperaturą powietrza od 6 do 4ºC,</w:t>
      </w:r>
    </w:p>
    <w:p>
      <w:pPr>
        <w:pStyle w:val="Normal"/>
        <w:numPr>
          <w:ilvl w:val="0"/>
          <w:numId w:val="34"/>
        </w:numPr>
        <w:ind w:left="714" w:hanging="357"/>
        <w:rPr/>
      </w:pPr>
      <w:r>
        <w:rPr/>
        <w:t>chłodne, od 1100 do 1400 m n.p.m., ze średnią roczną temperaturą od 4 do 2ºC,</w:t>
      </w:r>
    </w:p>
    <w:p>
      <w:pPr>
        <w:pStyle w:val="Normal"/>
        <w:numPr>
          <w:ilvl w:val="0"/>
          <w:numId w:val="34"/>
        </w:numPr>
        <w:ind w:left="714" w:hanging="357"/>
        <w:rPr/>
      </w:pPr>
      <w:r>
        <w:rPr/>
        <w:t>bardzo chłodne, od 1400-1650 m n.p.m., ze średnią roczną temperaturą od 2 do 0ºC.</w:t>
      </w:r>
    </w:p>
    <w:p>
      <w:pPr>
        <w:pStyle w:val="Normal"/>
        <w:rPr>
          <w:highlight w:val="white"/>
        </w:rPr>
      </w:pPr>
      <w:r>
        <w:rPr>
          <w:shd w:fill="FFFFFF" w:val="clear"/>
        </w:rPr>
        <w:t>Nad obszar Żywiecczyzny napływają kształtujące pogodę masy powietrza różnego pochodzenia:  </w:t>
      </w:r>
    </w:p>
    <w:p>
      <w:pPr>
        <w:pStyle w:val="Normal"/>
        <w:numPr>
          <w:ilvl w:val="0"/>
          <w:numId w:val="34"/>
        </w:numPr>
        <w:ind w:left="714" w:hanging="357"/>
        <w:rPr/>
      </w:pPr>
      <w:r>
        <w:rPr/>
        <w:t>najczęściej (w 65 %) powietrze polarno-morskie znad północnego Atlantyku (zimą ocieplenie i wzrost zachmurzenia z opadami, latem ochłodzenie i opady),</w:t>
      </w:r>
    </w:p>
    <w:p>
      <w:pPr>
        <w:pStyle w:val="Normal"/>
        <w:numPr>
          <w:ilvl w:val="0"/>
          <w:numId w:val="34"/>
        </w:numPr>
        <w:ind w:left="714" w:hanging="357"/>
        <w:rPr/>
      </w:pPr>
      <w:r>
        <w:rPr/>
        <w:t>polarno-kontynentalne (latem ciepłe, suche, zimą mroźne, suche),</w:t>
      </w:r>
    </w:p>
    <w:p>
      <w:pPr>
        <w:pStyle w:val="Normal"/>
        <w:numPr>
          <w:ilvl w:val="0"/>
          <w:numId w:val="34"/>
        </w:numPr>
        <w:ind w:left="714" w:hanging="357"/>
        <w:rPr/>
      </w:pPr>
      <w:r>
        <w:rPr/>
        <w:t>zwrotnikowo-morskie przynosi ocieplenie i wzrost wilgotności (opady),</w:t>
      </w:r>
    </w:p>
    <w:p>
      <w:pPr>
        <w:pStyle w:val="Normal"/>
        <w:numPr>
          <w:ilvl w:val="0"/>
          <w:numId w:val="34"/>
        </w:numPr>
        <w:ind w:left="714" w:hanging="357"/>
        <w:rPr/>
      </w:pPr>
      <w:r>
        <w:rPr/>
        <w:t>arktyczne niosące ochłodzenie.</w:t>
      </w:r>
    </w:p>
    <w:p>
      <w:pPr>
        <w:pStyle w:val="Normal"/>
        <w:rPr/>
      </w:pPr>
      <w:r>
        <w:rPr>
          <w:spacing w:val="-3"/>
          <w:shd w:fill="FFFFFF" w:val="clear"/>
        </w:rPr>
        <w:t>Istotne znaczenie dla kształtowania się mezo- i topoklimatów w tym rejonie ma rzeźba terenu. Wysokości mieszczą się w zakresie rzędnych od 340 m n.p.m. w kotlinie Żywieckiej do 1557 m n.p.m. na szczycie Pilska w Beskidzie Żywieckim. Prawie cały obszar znajduje się w zlewni Soły. Ważnym elementem topograficznym są liczne doliny rzeczne, które w górnym biegu kształtujących je cieków są niezwykle wąskie i słabo przewietrzane. Kotlina Żywiecka jest ograniczona od zachodu przez Beskid Śląski, od północy  przez Pogórze Śląskie (łączy się z nim przez Bramę Wilkowicką) i Beskid Mały, zaś od południowego wschodu i południa przez Beskid Makowski i Beskid Żywiecki.</w:t>
      </w:r>
      <w:r>
        <w:rPr>
          <w:rFonts w:cs="Arial" w:ascii="Arial" w:hAnsi="Arial"/>
          <w:color w:val="444444"/>
          <w:spacing w:val="-3"/>
          <w:shd w:fill="FFFFFF" w:val="clear"/>
        </w:rPr>
        <w:t> </w:t>
      </w:r>
      <w:r>
        <w:rPr>
          <w:spacing w:val="-3"/>
          <w:shd w:fill="FFFFFF" w:val="clear"/>
        </w:rPr>
        <w:t>Dno kotliny wznosi się na wysokość 340 – 500 m n.p.m. Pokryte jest w większości niewysokimi wzgórzami i niskimi grzbietami. Jest to obszar licznych zastoisk chłodnego powietrza eliminowanych czasem poprzez oddziaływanie Jeziora Żywieckiego w północnej części</w:t>
      </w:r>
      <w:r>
        <w:rPr>
          <w:rFonts w:cs="Arial" w:ascii="Arial" w:hAnsi="Arial"/>
          <w:color w:val="444444"/>
          <w:spacing w:val="-3"/>
          <w:shd w:fill="FFFFFF" w:val="clear"/>
        </w:rPr>
        <w:t xml:space="preserve"> </w:t>
      </w:r>
      <w:r>
        <w:rPr>
          <w:spacing w:val="-3"/>
          <w:shd w:fill="FFFFFF" w:val="clear"/>
        </w:rPr>
        <w:t>kotliny.</w:t>
      </w:r>
    </w:p>
    <w:p>
      <w:pPr>
        <w:pStyle w:val="Normal"/>
        <w:rPr>
          <w:highlight w:val="white"/>
        </w:rPr>
      </w:pPr>
      <w:r>
        <w:rPr>
          <w:shd w:fill="FFFFFF" w:val="clear"/>
        </w:rPr>
        <w:t xml:space="preserve">W Kotlinie Żywieckiej w ciągu roku przeważają wiatry zachodnie i północno-zachodnie (odmiennie niż na stacji Bielsko-Biała reprezentatywnej dla regionu pogórzy), przynoszące latem powietrze chłodne i wilgotne, a zimą ciepłe i również wilgotne. Występuje w regionie charakterystyczna dla obszarów górskich duża ilość opadów wahająca się w granicach: 800-1200 mm w ciągu roku, im wyżej, tym ilość opadów wzrasta. Zimy bywają tu długie i pokrywa śnieżna w niektórych partiach zalega ponad 130 dni (w Kotlinie Żywieckiej - średnio 31 dni, ale w szczytowych partiach Beskidu Żywieckiego - około 170 dni).Wiosna i lato są w górach dość krótkie, za to jesień długa i pogodna. Rozkład temperatur jest uzależniony od wysokości bezwzględnej oraz od ekspozycji terenu. Temperatura obniża się wraz ze wzrostem wysokości (średnia temperatura roczna w Karpatach obniża się przeciętnie o 0,5 ºC na każde 100 m wzniesienia) i tak średnia roczna temperatura w Żywcu wynosi 7,8 ºC, ale już powyżej 1100 m n.p.m. - 4 ºC. </w:t>
      </w:r>
    </w:p>
    <w:p>
      <w:pPr>
        <w:pStyle w:val="Normal"/>
        <w:rPr>
          <w:shd w:fill="FFFFFF" w:val="clear"/>
        </w:rPr>
      </w:pPr>
      <w:r>
        <w:rPr>
          <w:shd w:fill="FFFFFF" w:val="clear"/>
        </w:rPr>
      </w:r>
    </w:p>
    <w:p>
      <w:pPr>
        <w:pStyle w:val="Caption"/>
        <w:keepNext/>
        <w:jc w:val="left"/>
        <w:rPr/>
      </w:pPr>
      <w:r>
        <w:rPr/>
        <w:t xml:space="preserve">Tabela </w:t>
      </w:r>
      <w:r>
        <w:rPr/>
        <w:fldChar w:fldCharType="begin"/>
      </w:r>
      <w:r>
        <w:instrText> SEQ Tabela \* ARABIC </w:instrText>
      </w:r>
      <w:r>
        <w:fldChar w:fldCharType="separate"/>
      </w:r>
      <w:r>
        <w:t>15</w:t>
      </w:r>
      <w:r>
        <w:fldChar w:fldCharType="end"/>
      </w:r>
      <w:r>
        <w:rPr/>
        <w:t>.</w:t>
      </w:r>
      <w:r>
        <w:rPr>
          <w:b w:val="false"/>
        </w:rPr>
        <w:t xml:space="preserve"> Średnie miesięczne i roczne wartości elementów meteorologicznych w Żywcu w latach 1971-1980 (źródło: opracowanie własne dane archiwalne IMGW)</w:t>
      </w:r>
    </w:p>
    <w:tbl>
      <w:tblPr>
        <w:tblW w:w="9356"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1" w:noVBand="1" w:lastRow="0" w:firstColumn="1" w:lastColumn="0" w:noHBand="0" w:val="04a0"/>
      </w:tblPr>
      <w:tblGrid>
        <w:gridCol w:w="1871"/>
        <w:gridCol w:w="1871"/>
        <w:gridCol w:w="1871"/>
        <w:gridCol w:w="1871"/>
        <w:gridCol w:w="1872"/>
      </w:tblGrid>
      <w:tr>
        <w:trPr>
          <w:tblHeader w:val="true"/>
          <w:trHeight w:val="300"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Miesiąc</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 xml:space="preserve">Temperatura </w:t>
              <w:br/>
              <w:t>[ºC]</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Wilgotność względna [%]</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Prędkość wiatru [m/s]</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 xml:space="preserve">Zachmurzenie </w:t>
              <w:br/>
              <w:t>(0-8)</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styczeń</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-1,7</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83,0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5,3</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luty</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-0,2</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82,6</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4,9</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marzec</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3,0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78,6</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4,8</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kwiecień</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6,5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76,7</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1,6</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5,1</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maj</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12,0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76,8</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1,2</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4,7</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czerwiec</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15,0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78,6</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1,3</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4,7</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lipiec</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16,2</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80,1</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1,3</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4,8</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sierpień</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15,9</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82,6</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1,1</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4,2</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wrzesień</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12,0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85,2</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1,2</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4,8</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październik</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7,6</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83,0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4,5</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listopad</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3,2</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83,8</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2,1</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5,3</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grudzień</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0,3</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85,3</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2,1</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5,4</w:t>
            </w:r>
          </w:p>
        </w:tc>
      </w:tr>
      <w:tr>
        <w:trPr>
          <w:trHeight w:val="64"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b/>
                <w:b/>
                <w:sz w:val="18"/>
                <w:szCs w:val="18"/>
              </w:rPr>
            </w:pPr>
            <w:r>
              <w:rPr>
                <w:rFonts w:cs="Arial" w:ascii="Arial" w:hAnsi="Arial"/>
                <w:b/>
                <w:sz w:val="18"/>
                <w:szCs w:val="18"/>
              </w:rPr>
              <w:t>rok</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b/>
                <w:b/>
                <w:bCs/>
                <w:sz w:val="18"/>
                <w:szCs w:val="18"/>
              </w:rPr>
            </w:pPr>
            <w:r>
              <w:rPr>
                <w:rFonts w:cs="Arial" w:ascii="Arial" w:hAnsi="Arial"/>
                <w:b/>
                <w:bCs/>
                <w:sz w:val="18"/>
                <w:szCs w:val="18"/>
              </w:rPr>
              <w:t>7,5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b/>
                <w:b/>
                <w:bCs/>
                <w:sz w:val="18"/>
                <w:szCs w:val="18"/>
              </w:rPr>
            </w:pPr>
            <w:r>
              <w:rPr>
                <w:rFonts w:cs="Arial" w:ascii="Arial" w:hAnsi="Arial"/>
                <w:b/>
                <w:bCs/>
                <w:sz w:val="18"/>
                <w:szCs w:val="18"/>
              </w:rPr>
              <w:t>81,4</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b/>
                <w:b/>
                <w:bCs/>
                <w:sz w:val="18"/>
                <w:szCs w:val="18"/>
              </w:rPr>
            </w:pPr>
            <w:r>
              <w:rPr>
                <w:rFonts w:cs="Arial" w:ascii="Arial" w:hAnsi="Arial"/>
                <w:b/>
                <w:bCs/>
                <w:sz w:val="18"/>
                <w:szCs w:val="18"/>
              </w:rPr>
              <w:t>1,5</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b/>
                <w:b/>
                <w:bCs/>
                <w:sz w:val="18"/>
                <w:szCs w:val="18"/>
              </w:rPr>
            </w:pPr>
            <w:r>
              <w:rPr>
                <w:rFonts w:cs="Arial" w:ascii="Arial" w:hAnsi="Arial"/>
                <w:b/>
                <w:bCs/>
                <w:sz w:val="18"/>
                <w:szCs w:val="18"/>
              </w:rPr>
              <w:t>4,9</w:t>
            </w:r>
          </w:p>
        </w:tc>
      </w:tr>
    </w:tbl>
    <w:p>
      <w:pPr>
        <w:pStyle w:val="Normal"/>
        <w:spacing w:lineRule="auto" w:line="360"/>
        <w:rPr>
          <w:shd w:fill="FFFFFF" w:val="clear"/>
        </w:rPr>
      </w:pPr>
      <w:r>
        <w:rPr>
          <w:shd w:fill="FFFFFF" w:val="clear"/>
        </w:rPr>
      </w:r>
    </w:p>
    <w:p>
      <w:pPr>
        <w:pStyle w:val="Normal"/>
        <w:rPr>
          <w:highlight w:val="white"/>
        </w:rPr>
      </w:pPr>
      <w:r>
        <w:rPr>
          <w:shd w:fill="FFFFFF" w:val="clear"/>
        </w:rPr>
        <w:t>W stosunku do warunków makroklimatycznych, w Kotlinie Żywieckiej temperatura powietrza jest niższa. Niższa jest też prędkość wiatru.</w:t>
      </w:r>
    </w:p>
    <w:p>
      <w:pPr>
        <w:pStyle w:val="Normal"/>
        <w:rPr>
          <w:highlight w:val="white"/>
        </w:rPr>
      </w:pPr>
      <w:r>
        <w:rPr>
          <w:shd w:fill="FFFFFF" w:val="clear"/>
        </w:rPr>
        <w:t xml:space="preserve">Poniższy wykres przedstawia udział kierunków wiatru w przedziałach prędkości w Żywcu 49.69°N 19.19°E  (347 m n.p.m.) w okresie 21.04.2018 – 05.05.2018. Dominujące kierunki to W, SW i SSW. Z sektora zachodniego największą częstością charakteryzował się wiatr o prędkości 4 – 6 m/s i powyżej 6 m/s. </w:t>
      </w:r>
    </w:p>
    <w:p>
      <w:pPr>
        <w:pStyle w:val="Normal"/>
        <w:ind w:hanging="0"/>
        <w:jc w:val="center"/>
        <w:rPr>
          <w:highlight w:val="white"/>
        </w:rPr>
      </w:pPr>
      <w:r>
        <w:rPr/>
        <w:drawing>
          <wp:inline distT="19050" distB="0" distL="19050" distR="0">
            <wp:extent cx="4333875" cy="3489960"/>
            <wp:effectExtent l="0" t="0" r="0" b="0"/>
            <wp:docPr id="40" name="Obraz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29" descr=""/>
                    <pic:cNvPicPr>
                      <a:picLocks noChangeAspect="1" noChangeArrowheads="1"/>
                    </pic:cNvPicPr>
                  </pic:nvPicPr>
                  <pic:blipFill>
                    <a:blip r:embed="rId51"/>
                    <a:stretch>
                      <a:fillRect/>
                    </a:stretch>
                  </pic:blipFill>
                  <pic:spPr bwMode="auto">
                    <a:xfrm>
                      <a:off x="0" y="0"/>
                      <a:ext cx="4333875" cy="348996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29</w:t>
      </w:r>
      <w:r>
        <w:fldChar w:fldCharType="end"/>
      </w:r>
      <w:r>
        <w:rPr/>
        <w:t>.</w:t>
      </w:r>
      <w:r>
        <w:rPr>
          <w:b w:val="false"/>
        </w:rPr>
        <w:t xml:space="preserve"> Kierunkowo-prędkościowa róża wiatru dla Żywca 21.04.2018 – 05.05.2018 </w:t>
        <w:br/>
        <w:t>(źródło: www.meteoblue.com/pl/pogoda/archive/windrose/Żywiec_polska_3079855)</w:t>
      </w:r>
    </w:p>
    <w:p>
      <w:pPr>
        <w:pStyle w:val="Normal"/>
        <w:rPr>
          <w:shd w:fill="FFFFFF" w:val="clear"/>
        </w:rPr>
      </w:pPr>
      <w:r>
        <w:rPr>
          <w:shd w:fill="FFFFFF" w:val="clear"/>
        </w:rPr>
      </w:r>
    </w:p>
    <w:p>
      <w:pPr>
        <w:pStyle w:val="Normal"/>
        <w:rPr>
          <w:highlight w:val="white"/>
        </w:rPr>
      </w:pPr>
      <w:r>
        <w:rPr>
          <w:shd w:fill="FFFFFF" w:val="clear"/>
        </w:rPr>
        <w:t>Na podstawie chwilowych wartości prędkości wiatru i kierunku można ocenić warunki turbulencji. Według klasyfikacji W. Parczewskiego (1960), której podstawą są następujące prędkości wiatru:</w:t>
      </w:r>
    </w:p>
    <w:p>
      <w:pPr>
        <w:pStyle w:val="Normal"/>
        <w:rPr>
          <w:highlight w:val="white"/>
        </w:rPr>
      </w:pPr>
      <w:r>
        <w:rPr>
          <w:shd w:fill="FFFFFF" w:val="clear"/>
        </w:rPr>
        <w:t>v &lt; 0,3 m·s -1 – brak turbulencji (cisza),</w:t>
      </w:r>
    </w:p>
    <w:p>
      <w:pPr>
        <w:pStyle w:val="Normal"/>
        <w:rPr>
          <w:highlight w:val="white"/>
        </w:rPr>
      </w:pPr>
      <w:r>
        <w:rPr>
          <w:shd w:fill="FFFFFF" w:val="clear"/>
        </w:rPr>
        <w:t>v &gt; 0,3 m·s -1 &lt; 4 m·s -1 – turbulencja słaba,</w:t>
      </w:r>
    </w:p>
    <w:p>
      <w:pPr>
        <w:pStyle w:val="Normal"/>
        <w:rPr>
          <w:highlight w:val="white"/>
        </w:rPr>
      </w:pPr>
      <w:r>
        <w:rPr>
          <w:shd w:fill="FFFFFF" w:val="clear"/>
        </w:rPr>
        <w:t>v &gt; 4 m·s -1 &lt; 10 m·s -1 – turbulencja umiarkowana,</w:t>
      </w:r>
    </w:p>
    <w:p>
      <w:pPr>
        <w:pStyle w:val="Normal"/>
        <w:rPr>
          <w:highlight w:val="white"/>
        </w:rPr>
      </w:pPr>
      <w:r>
        <w:rPr>
          <w:shd w:fill="FFFFFF" w:val="clear"/>
        </w:rPr>
        <w:t>v &gt; 10 m·s -1 &lt; 20 m·s -1 – turbulencja silna,</w:t>
      </w:r>
    </w:p>
    <w:p>
      <w:pPr>
        <w:pStyle w:val="Normal"/>
        <w:rPr>
          <w:highlight w:val="white"/>
        </w:rPr>
      </w:pPr>
      <w:r>
        <w:rPr>
          <w:shd w:fill="FFFFFF" w:val="clear"/>
        </w:rPr>
        <w:t xml:space="preserve">v &gt; 20 m·s -1 – turbulencja bardzo silna, </w:t>
      </w:r>
    </w:p>
    <w:p>
      <w:pPr>
        <w:pStyle w:val="Normal"/>
        <w:ind w:hanging="0"/>
        <w:rPr>
          <w:highlight w:val="white"/>
        </w:rPr>
      </w:pPr>
      <w:r>
        <w:rPr>
          <w:shd w:fill="FFFFFF" w:val="clear"/>
        </w:rPr>
        <w:t xml:space="preserve">korzystniejsze warunki do mieszania się powietrza i rozprzestrzeniania zanieczyszczeń panowały przy wietrze od W do SSW, chociaż i tak turbulencja była umiarkowana. </w:t>
      </w:r>
    </w:p>
    <w:p>
      <w:pPr>
        <w:pStyle w:val="Normal"/>
        <w:rPr>
          <w:highlight w:val="white"/>
        </w:rPr>
      </w:pPr>
      <w:r>
        <w:rPr>
          <w:shd w:fill="FFFFFF" w:val="clear"/>
        </w:rPr>
        <w:t>Długość okresu wegetacyjnego w obrębie kotliny wzrasta w kierunku północnym od 220 do 230 dni. Okres bezprzymrozkowy trwa od 190 do 200 dni, przy gruncie (wys. 0 m n.p.g.) jest krótszy. W części południowej na wyższych wysokościach spada poniżej 180 dni.</w:t>
      </w:r>
    </w:p>
    <w:p>
      <w:pPr>
        <w:pStyle w:val="Normal"/>
        <w:rPr/>
      </w:pPr>
      <w:r>
        <w:rPr>
          <w:shd w:fill="FFFFFF" w:val="clear"/>
        </w:rPr>
        <w:t>Stoki eksponowane na południe mają temperatury wyższe od stoków o innej ekspozycji. Często, zwłaszcza późną jesienią i zimą, występują inwersje temperatury. Dochodzi do tego gdy w dolinach czy kotlinach (Żywieckiej, Jeleśni czy Rajczy) jest niska temperatura, a ponad otaczającymi szczytami jest słonecznie i temperatura jest o kilka lub nawet kilkanaście stopni wyższa. Są one związane ze spływem ciężkiego wychłodzonego powietrza ze stoków i zastoiskami zimnego powietrza w dużych, słabo przewietrzanych obniżeniach terenowych. Podobnie w wyniku takich różnic temperatury, w obrębie dolin występują w cyklu dobowym lokalne wiatry górskie i dolinne. Istotnym czynnikiem klimatu są nieraz bardzo gwałtowne, ciepłe wiatry halne wiejące z południa i południowego zachodu, szczególnie wiosną i jesienią. Klimat w rejonie pasm górskich wykazuje więc cechy typowe dla strefy górskiej.</w:t>
      </w:r>
    </w:p>
    <w:p>
      <w:pPr>
        <w:pStyle w:val="Normal"/>
        <w:rPr>
          <w:highlight w:val="white"/>
        </w:rPr>
      </w:pPr>
      <w:r>
        <w:rPr>
          <w:shd w:fill="FFFFFF" w:val="clear"/>
        </w:rPr>
        <w:t>Następstwem znacznego zróżnicowania wysokości i rzeźby terenu oraz równoleżnikowego układu krain geograficznych sprzyjającego przemieszczaniu się różnych mas powietrza i frontów atmosferycznych jest duża zmienność przestrzenna opadów atmosferycznych. Na podstawie mapy rozkładu średnich sum rocznych opadów z wielolecia można zauważyć, że największe opady występują w południowej części województwa śląskiego, a najmniejsze na północy wahając się od ok 650 mm do 1400 mm. Orograficzny charakter opadów jest widoczny w obszarach górskich, w rejonie Kotliny Żywieckiej. W centrum kotliny i w ujściowym odcinku doliny Koszarawy roczna suma opadu jest niższa od 900 mm. Wzrasta wraz ze wzrostem wysokości do 1050 mm w Beskidzie Małym, powyżej 1200 mm w Beskidzie Śląskim i Żywieckim.</w:t>
      </w:r>
    </w:p>
    <w:p>
      <w:pPr>
        <w:pStyle w:val="Normal"/>
        <w:spacing w:lineRule="auto" w:line="360"/>
        <w:rPr>
          <w:shd w:fill="FFFFFF" w:val="clear"/>
        </w:rPr>
      </w:pPr>
      <w:r>
        <w:rPr>
          <w:shd w:fill="FFFFFF" w:val="clear"/>
        </w:rPr>
      </w:r>
    </w:p>
    <w:p>
      <w:pPr>
        <w:pStyle w:val="Normal"/>
        <w:ind w:hanging="0"/>
        <w:jc w:val="center"/>
        <w:rPr>
          <w:highlight w:val="white"/>
        </w:rPr>
      </w:pPr>
      <w:r>
        <w:rPr/>
        <w:drawing>
          <wp:inline distT="19050" distB="8890" distL="19050" distR="5080">
            <wp:extent cx="4548505" cy="3134360"/>
            <wp:effectExtent l="0" t="0" r="0" b="0"/>
            <wp:docPr id="41" name="Obraz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30" descr=""/>
                    <pic:cNvPicPr>
                      <a:picLocks noChangeAspect="1" noChangeArrowheads="1"/>
                    </pic:cNvPicPr>
                  </pic:nvPicPr>
                  <pic:blipFill>
                    <a:blip r:embed="rId52"/>
                    <a:stretch>
                      <a:fillRect/>
                    </a:stretch>
                  </pic:blipFill>
                  <pic:spPr bwMode="auto">
                    <a:xfrm>
                      <a:off x="0" y="0"/>
                      <a:ext cx="4548505" cy="3134360"/>
                    </a:xfrm>
                    <a:prstGeom prst="rect">
                      <a:avLst/>
                    </a:prstGeom>
                    <a:ln w="9525">
                      <a:solidFill>
                        <a:srgbClr val="4F81BD"/>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30</w:t>
      </w:r>
      <w:r>
        <w:fldChar w:fldCharType="end"/>
      </w:r>
      <w:r>
        <w:rPr/>
        <w:t>.</w:t>
      </w:r>
      <w:r>
        <w:rPr>
          <w:b w:val="false"/>
        </w:rPr>
        <w:t xml:space="preserve"> Rozkład przestrzenny średniej rocznej temperatury powietrza w rejonie Kotliny Żywieckiej (źródło: BDL www.bdl.lasy.gov.pl/portal)</w:t>
      </w:r>
    </w:p>
    <w:p>
      <w:pPr>
        <w:pStyle w:val="Normal"/>
        <w:spacing w:lineRule="auto" w:line="360"/>
        <w:jc w:val="left"/>
        <w:rPr>
          <w:shd w:fill="FFFFFF" w:val="clear"/>
        </w:rPr>
      </w:pPr>
      <w:r>
        <w:rPr>
          <w:shd w:fill="FFFFFF" w:val="clear"/>
        </w:rPr>
      </w:r>
    </w:p>
    <w:p>
      <w:pPr>
        <w:pStyle w:val="Normal"/>
        <w:ind w:hanging="0"/>
        <w:jc w:val="center"/>
        <w:rPr>
          <w:highlight w:val="white"/>
        </w:rPr>
      </w:pPr>
      <w:r>
        <w:rPr/>
        <w:drawing>
          <wp:inline distT="19050" distB="0" distL="19050" distR="0">
            <wp:extent cx="4516120" cy="3112770"/>
            <wp:effectExtent l="0" t="0" r="0" b="0"/>
            <wp:docPr id="42" name="Obraz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31" descr=""/>
                    <pic:cNvPicPr>
                      <a:picLocks noChangeAspect="1" noChangeArrowheads="1"/>
                    </pic:cNvPicPr>
                  </pic:nvPicPr>
                  <pic:blipFill>
                    <a:blip r:embed="rId53"/>
                    <a:stretch>
                      <a:fillRect/>
                    </a:stretch>
                  </pic:blipFill>
                  <pic:spPr bwMode="auto">
                    <a:xfrm>
                      <a:off x="0" y="0"/>
                      <a:ext cx="4516120" cy="3112770"/>
                    </a:xfrm>
                    <a:prstGeom prst="rect">
                      <a:avLst/>
                    </a:prstGeom>
                    <a:ln w="9525">
                      <a:solidFill>
                        <a:srgbClr val="4F81BD"/>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31</w:t>
      </w:r>
      <w:r>
        <w:fldChar w:fldCharType="end"/>
      </w:r>
      <w:r>
        <w:rPr/>
        <w:t>.</w:t>
      </w:r>
      <w:r>
        <w:rPr>
          <w:b w:val="false"/>
        </w:rPr>
        <w:t xml:space="preserve"> Czas trwania okresów: wegetacyjnego, bezprzymrozkowego i bezprzymrozkowego na wysokości 0 m w rejonie Kotliny Żywieckiej (źródło: BDL www.bdl.lasy.gov.pl/portal)</w:t>
      </w:r>
    </w:p>
    <w:p>
      <w:pPr>
        <w:pStyle w:val="Tekst"/>
        <w:jc w:val="center"/>
        <w:rPr>
          <w:sz w:val="22"/>
          <w:szCs w:val="22"/>
        </w:rPr>
      </w:pPr>
      <w:r>
        <w:rPr/>
        <w:drawing>
          <wp:inline distT="19050" distB="0" distL="19050" distR="1905">
            <wp:extent cx="4532630" cy="3547110"/>
            <wp:effectExtent l="0" t="0" r="0" b="0"/>
            <wp:docPr id="43" name="Obraz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32" descr=""/>
                    <pic:cNvPicPr>
                      <a:picLocks noChangeAspect="1" noChangeArrowheads="1"/>
                    </pic:cNvPicPr>
                  </pic:nvPicPr>
                  <pic:blipFill>
                    <a:blip r:embed="rId54"/>
                    <a:stretch>
                      <a:fillRect/>
                    </a:stretch>
                  </pic:blipFill>
                  <pic:spPr bwMode="auto">
                    <a:xfrm>
                      <a:off x="0" y="0"/>
                      <a:ext cx="4532630" cy="354711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32</w:t>
      </w:r>
      <w:r>
        <w:fldChar w:fldCharType="end"/>
      </w:r>
      <w:r>
        <w:rPr/>
        <w:t>.</w:t>
      </w:r>
      <w:r>
        <w:rPr>
          <w:b w:val="false"/>
        </w:rPr>
        <w:t xml:space="preserve"> Rozkład średniej rocznej sumy opadu w rejonie Kotliny Żywieckiej </w:t>
        <w:br/>
        <w:t>(źródło: BDL www.bdl.lasy.gov.pl/portal)</w:t>
      </w:r>
    </w:p>
    <w:p>
      <w:pPr>
        <w:pStyle w:val="Normal"/>
        <w:jc w:val="left"/>
        <w:rPr>
          <w:shd w:fill="FFFFFF" w:val="clear"/>
        </w:rPr>
      </w:pPr>
      <w:r>
        <w:rPr>
          <w:shd w:fill="FFFFFF" w:val="clear"/>
        </w:rPr>
      </w:r>
    </w:p>
    <w:p>
      <w:pPr>
        <w:pStyle w:val="Normal"/>
        <w:rPr/>
      </w:pPr>
      <w:r>
        <w:rPr/>
        <w:t>Oprócz wartości średniego opadu atmosferycznego elementem o znaczącej wadze jest rozkład opadów w czasie oraz ich intensywność. Nadmienić należy, że w okresie ostatnich lat coraz częściej obserwuje się występowanie krótkotrwałych nawalnych opadów często o dużej koncentracji na obszarze kilku JCWP lub zlewni. Zjawisko to w połączeniu z intensywnymi zmianami antropogenicznymi wynikającymi m.in. z przeobrażania zagospodarowania przestrzennego oraz oddziaływania przemysłu potęguje zagrożenie powodziowe.</w:t>
      </w:r>
    </w:p>
    <w:p>
      <w:pPr>
        <w:pStyle w:val="Normal"/>
        <w:ind w:firstLine="426"/>
        <w:rPr/>
      </w:pPr>
      <w:r>
        <w:rPr/>
        <w:t>Warunki meteorologiczne będące składowymi czynników klimatycznych mające wpływ na poziom substancji w powietrzu to przede wszystkim osłabienie prędkości wiatru, występowanie inwersji termicznej, spadek temperatury powietrza. Głównym czynnikiem wpływającym na jakość powietrza jest zazwyczaj nie tyle gwałtowny wzrost emisji, co pogorszenie się warunków sprzyjających rozpraszaniu zanieczyszczeń w przygruntowej warstwie powietrza. Decydujące znaczenie mają tutaj kierunek i prędkość wiatru oraz zasięg i czas trwania inwersji temperatury. W obszarach, gdzie duże znaczenie odgrywa emisja zanieczyszczeń pochodzących z indywidualnych systemów grzewczych, zaznacza się wyraźnie wpływ temperatury powietrza, im niższa tym wyższe stężenia substancji w powietrzu. Niesprzyjające warunki w tym inwersja termiczna charakterystyczne są głównie dla adwekcji mas powietrza w wyżu z zachodu, południowego zachodu i południowego wschodu oraz sytuacjach bezadwekcyjnych klina antycyklonalnego i centrum wyżu.</w:t>
      </w:r>
    </w:p>
    <w:p>
      <w:pPr>
        <w:pStyle w:val="Normal"/>
        <w:rPr/>
      </w:pPr>
      <w:r>
        <w:rPr/>
        <w:t>Zabudowa dzielnicy Zabłocie o charakterze mieszkalno-przemysłowym jest źródłem emisji zanieczyszczeń komunalno-przemysłowych do środowiska.</w:t>
      </w:r>
      <w:r>
        <w:rPr>
          <w:shd w:fill="FFFFFF" w:val="clear"/>
        </w:rPr>
        <w:t xml:space="preserve"> </w:t>
      </w:r>
      <w:r>
        <w:rPr/>
        <w:t xml:space="preserve">Warunki mezoklimatyczne miejsca inwestycji są dość korzystne dla rozprzestrzeniania się zanieczyszczeń w powietrzu. </w:t>
      </w:r>
      <w:r>
        <w:rPr>
          <w:shd w:fill="FFFFFF" w:val="clear"/>
        </w:rPr>
        <w:t xml:space="preserve">Znajduje się ona w centrum Kotliny Żywieckiej, na płaskim wysokim obszarze pokrywy deluwialnej o lekkim nachyleniu w kierunku rzeki Soły, bez zwartej roślinności, na glebach mało przepuszczalnych, cechujących się mniejszym wypromieniowaniem w nocy, w warunkach radiacyjnych. </w:t>
      </w:r>
      <w:r>
        <w:rPr/>
        <w:t>Mezoklimat ciepłych i suchszych w stosunku do dna doliny stoków (o ekspozycji na E) odpowiada cechom „ciepłej strefy na stoku”. Występują tu dobre warunki spływu chłodnego powietrza w nocy. Charakterystyczne są mniejsze gradienty dobowej amplitudy temperatury powietrza, a także długość okresu bezprzymrozkowego podlega małym wahaniom.</w:t>
      </w:r>
    </w:p>
    <w:p>
      <w:pPr>
        <w:pStyle w:val="Normal"/>
        <w:shd w:val="clear" w:color="auto" w:fill="FFFFFF"/>
        <w:rPr/>
      </w:pPr>
      <w:r>
        <w:rPr/>
        <w:t>Jako osobną jednostkę typologiczną mikroklimatu, można potraktować obszary o  specyficznych  stosunkach  termiczno-wilgotnościowych (rynien spływu chłodnego powietrza) na stokach  i podnóżach  pokryw soliflukcyjno-deluwialnych. Występują one w rozcięciach  dolinnych (Sienki, Leśnianki, Żarnówki) i osuwiskowych, które odznaczają się w nocy niższymi,  w porównaniu z powierzchnią stoków, temperaturami i większym nasy</w:t>
        <w:softHyphen/>
        <w:t>ceniem parą wodną. Zagłębienia terenu także cechują się w czasie bezchmurnych nocy niekorzystnymi warunkami termiczno-wilgotnościowymi oraz przewietrzania, większą częstością mgieł i przymrozków przygruntowych. W rejonie inwestycji taki charakter ma antropogeniczne obniżenie terenu, jednak jego niewielkie rozmiary są czynnikiem łagodzącym powyższe parametry mikroklimatyczne.</w:t>
      </w:r>
    </w:p>
    <w:p>
      <w:pPr>
        <w:pStyle w:val="Normal"/>
        <w:shd w:val="clear" w:color="auto" w:fill="FFFFFF"/>
        <w:spacing w:lineRule="auto" w:line="360"/>
        <w:rPr/>
      </w:pPr>
      <w:r>
        <w:rPr/>
      </w:r>
    </w:p>
    <w:p>
      <w:pPr>
        <w:pStyle w:val="Nagwek1"/>
        <w:numPr>
          <w:ilvl w:val="0"/>
          <w:numId w:val="2"/>
        </w:numPr>
        <w:rPr/>
      </w:pPr>
      <w:bookmarkStart w:id="57" w:name="_Toc518331319"/>
      <w:bookmarkEnd w:id="57"/>
      <w:r>
        <w:rPr/>
        <w:t>WYNIKI INWENTARYZACJI PRZYRODNICZEJ, JEŻELI ZOSTAŁA PRZEPROWADZONA, WRAZ Z OPISEM ZASTOSOWANEJ METODYKI</w:t>
      </w:r>
    </w:p>
    <w:p>
      <w:pPr>
        <w:pStyle w:val="Normal"/>
        <w:rPr/>
      </w:pPr>
      <w:r>
        <w:rPr/>
        <w:t xml:space="preserve">W punkcie 4 raportu przedstawiono szczegółową charakterystykę środowiska przyrodniczego w rejonie planowanego przedsięwzięcia. Do przeprowadzenia analizy komponentów środowiska wykorzystano materiały źródłowe, w tym także pozyskane na potrzeby opracowania mapy topograficzne, dane BDOT10k oraz mapy glebowo-rolnicze. Wykorzystano także szeroki zakres informacji, danych i materiałów kartograficznych prezentowanych w Internecie. Opis środowiska oparto także na dwukrotnej wizji lokalnej terenu lokalizacji planowanego przedsięwziecia. </w:t>
      </w:r>
    </w:p>
    <w:p>
      <w:pPr>
        <w:pStyle w:val="Normal"/>
        <w:rPr/>
      </w:pPr>
      <w:r>
        <w:rPr/>
        <w:t xml:space="preserve">W przypadku planowanego przedsięwzięcia mamy do czynienia z krajobrazem przemysłowym bardzo silnie przekształconym antropogenicznie. Stopień przekształcenia jest tak duży, że właściwie nie można mówić o tym aby elementy środowiska miały w tym wypadku choćby seminaturalny charakter. </w:t>
      </w:r>
    </w:p>
    <w:p>
      <w:pPr>
        <w:pStyle w:val="Normal"/>
        <w:rPr/>
      </w:pPr>
      <w:r>
        <w:rPr/>
        <w:t>Przeprowadzone badania kameralne, poparte wizją lokalną dają wystarczająca podstawę do wskazania możliwego oddziaływania planowanego przedsięwzięcia na poszczególne komponenty środowiska geograficznego oraz na krajobraz, rozumiany jako część epigeosfery stanowiącą złożony przestrzennie geokompleks o swoistej strukturze i wewnętrznych powiązaniach. W analizowanym przypadku uznano, że przeprowadzenie badań terenowych w formie inwentaryzacji przyrodniczej oraz badań ekologicznych nie jest potrzebne, natomiast wpłynęłoby na czas sporządzania dokumentacji oraz jej koszty.</w:t>
      </w:r>
    </w:p>
    <w:p>
      <w:pPr>
        <w:pStyle w:val="Normal"/>
        <w:rPr/>
      </w:pPr>
      <w:r>
        <w:rPr/>
        <w:t xml:space="preserve">Na poparcie tej decyzji, oprócz lokalizacji, wpływ miała mała skala przedsięwzięcia, zarówno jeśli chodzi o wielkość samego obiektu, jak i jego zasięg oddziaływania. Decyzję tę podjęto także w oparciu o posiadaną przez autorów wiedzę dotyczącą prowadzenia szczegółowych badań terenowych z zakresu geoekologii, fitosocjologii, botaniki czy zoologii.  </w:t>
      </w:r>
    </w:p>
    <w:p>
      <w:pPr>
        <w:pStyle w:val="Normal"/>
        <w:spacing w:lineRule="auto" w:line="360"/>
        <w:rPr/>
      </w:pPr>
      <w:r>
        <w:rPr/>
      </w:r>
    </w:p>
    <w:p>
      <w:pPr>
        <w:pStyle w:val="Nagwek1"/>
        <w:numPr>
          <w:ilvl w:val="0"/>
          <w:numId w:val="2"/>
        </w:numPr>
        <w:rPr/>
      </w:pPr>
      <w:bookmarkStart w:id="58" w:name="_Toc518331320"/>
      <w:bookmarkEnd w:id="58"/>
      <w:r>
        <w:rPr/>
        <w:t>OPIS KRAJOBRAZU, W KTÓRYM DANE PRZEDSIĘWZIĘCIE MA BYĆ ZLOKALIZOWANE</w:t>
      </w:r>
    </w:p>
    <w:p>
      <w:pPr>
        <w:pStyle w:val="Normal"/>
        <w:shd w:val="clear" w:color="auto" w:fill="FFFFFF"/>
        <w:rPr>
          <w:rFonts w:ascii="Open Sans" w:hAnsi="Open Sans"/>
          <w:color w:val="00000A"/>
        </w:rPr>
      </w:pPr>
      <w:r>
        <w:rPr>
          <w:rFonts w:ascii="Open Sans" w:hAnsi="Open Sans"/>
          <w:color w:val="00000A"/>
        </w:rPr>
        <w:t>Planowane przedsięwzięcie będzie realizowane w obrębie krajobrazu antropogenicznego o charakterze przemysłowym. Projektowany budynek w przeważającej części zastąpi istniejący na tym terenie budynek kotłowni i towarzyszący mu budynek gospodarczy. Od wschodniej i południowej strony planowanego zakładu będą w dalszym ciągu znajdować się budynki przemysłowe oraz place składowe. Od zachodu i północy teren sąsiaduje ze składowiskiem odpadów komunalnych.</w:t>
      </w:r>
    </w:p>
    <w:p>
      <w:pPr>
        <w:pStyle w:val="Normal"/>
        <w:shd w:val="clear" w:color="auto" w:fill="FFFFFF"/>
        <w:rPr>
          <w:rFonts w:ascii="Open Sans" w:hAnsi="Open Sans"/>
          <w:color w:val="00000A"/>
        </w:rPr>
      </w:pPr>
      <w:r>
        <w:rPr>
          <w:rFonts w:ascii="Open Sans" w:hAnsi="Open Sans"/>
          <w:color w:val="00000A"/>
        </w:rPr>
        <w:t xml:space="preserve">W ujęciu wizualno-estetycznym krajobrazu, nowy budynek swoją wysokością będzie nawiązywał do istniejącej zabudowy przemysłowej. Obecnie dominantę krajobrazową stanowi zdewastowany budynek kotłowni oraz stalowy emitor kotłowni, które zostaną usunięte. Przedsięwzięcie, ze swoją niejednorodną bryłą będzie elementem korespondującym z istniejącą zabudową i nie spowoduje obniżenia walorów wizualnych krajobrazu. Nawiązaniem do obecnego stanu będą emitory instalacji o wysokości 20 m, które będą stanowiły lokalną dominantę. </w:t>
      </w:r>
    </w:p>
    <w:p>
      <w:pPr>
        <w:pStyle w:val="Normal"/>
        <w:shd w:val="clear" w:color="auto" w:fill="FFFFFF"/>
        <w:spacing w:lineRule="auto" w:line="360"/>
        <w:rPr>
          <w:rFonts w:ascii="Open Sans" w:hAnsi="Open Sans"/>
          <w:color w:val="00000A"/>
        </w:rPr>
      </w:pPr>
      <w:r>
        <w:rPr>
          <w:rFonts w:ascii="Open Sans" w:hAnsi="Open Sans"/>
          <w:color w:val="00000A"/>
        </w:rPr>
      </w:r>
    </w:p>
    <w:p>
      <w:pPr>
        <w:pStyle w:val="Nagwek1"/>
        <w:numPr>
          <w:ilvl w:val="0"/>
          <w:numId w:val="2"/>
        </w:numPr>
        <w:rPr/>
      </w:pPr>
      <w:bookmarkStart w:id="59" w:name="_Toc518331321"/>
      <w:bookmarkEnd w:id="59"/>
      <w:r>
        <w:rPr/>
        <w:t xml:space="preserve">INFORMACJE NA TEMAT POWIĄZAŃ Z INNYMI PRZEDSIĘWZIĘCIAMI, </w:t>
        <w:br/>
        <w:t>W SZCZEGÓLNOŚCI KUMULOWANIA SIĘ ODDZIAŁYWAŃ PRZEDSIĘWZIĘĆ REALIZOWANYCH, ZREALIZOWANYCH LUB PLANOWANYCH, DLA KTÓRYCH WYDANO DECYZJĘ O ŚRODOWISKOWYCH UWARUNKOWANIACH</w:t>
      </w:r>
    </w:p>
    <w:p>
      <w:pPr>
        <w:pStyle w:val="Normal"/>
        <w:rPr/>
      </w:pPr>
      <w:r>
        <w:rPr/>
        <w:t xml:space="preserve">Analizowane przedsięwzięcie będzie realizowane na terenie, na którym nie występują inne przedsięwzięcia, dla których wydano decyzję o środowiskowych uwarunkowaniach. Oddziaływanie planowanego przedsięwzięcia będzie się ograniczało do działek, na terenie których będzie ono realizowane oraz niewielkiego terenu w jego sąsiedztwie. Skala samego zakładu oraz jego oddziaływania ma charakter lokalny, więc na obecnym etapie nie stanowi podstawy do przeprowadzenia analizy kumulowania się oddziaływań z instalacjami znajdującymi się w dalszej odległości od zakładu. </w:t>
      </w:r>
    </w:p>
    <w:p>
      <w:pPr>
        <w:pStyle w:val="Normal"/>
        <w:rPr/>
      </w:pPr>
      <w:r>
        <w:rPr/>
        <w:t>W przypadku podejmowania działań mających na celu budowę na tym terenie, lub w jego bezpośrednim sąsiedztwie innych instalacji mogących potencjalnie lub zawsze znacząco oddziaływać na środowisko, w przypadku przeprowadzania oceny oddziaływania tego przedsięwzięcia na środowisko należy uwzględnić emisje substancji lub energii z przedsięwzięcia analizowanego w niniejszym raporcie.</w:t>
      </w:r>
    </w:p>
    <w:p>
      <w:pPr>
        <w:pStyle w:val="Normal"/>
        <w:spacing w:lineRule="auto" w:line="360"/>
        <w:rPr/>
      </w:pPr>
      <w:r>
        <w:rPr/>
      </w:r>
    </w:p>
    <w:p>
      <w:pPr>
        <w:pStyle w:val="Nagwek1"/>
        <w:numPr>
          <w:ilvl w:val="0"/>
          <w:numId w:val="2"/>
        </w:numPr>
        <w:rPr/>
      </w:pPr>
      <w:bookmarkStart w:id="60" w:name="_Toc518331322"/>
      <w:r>
        <w:rPr/>
        <w:t>OPIS ISTNIEJĄCYCH W SĄSIEDZTWIE LUB W BEZPOŚREDNIM ZASIĘGU ODDZIAŁYWANIA PLANOWANEGO PRZEDSIĘWZIĘCIA ZABYTKÓW CHRONIONYCH NA PODSTAWIE PRZEPISÓW O OCHRONIE ZABYTKÓW I OPIECE NAD ZABYTKAMI</w:t>
      </w:r>
      <w:bookmarkEnd w:id="60"/>
      <w:r>
        <w:rPr/>
        <w:t xml:space="preserve"> </w:t>
      </w:r>
    </w:p>
    <w:p>
      <w:pPr>
        <w:pStyle w:val="Normal"/>
        <w:rPr/>
      </w:pPr>
      <w:r>
        <w:rPr/>
        <w:t xml:space="preserve">Zgodnie z informacjami znajdującymi się w ewidencji gruntów oraz w oparciu o rejestr zabytków województwa śląskiego i materiały kartograficzne, na terenie planowanego przedsięwzięcia oraz w jego sąsiedztwie nie występują żadne zabytki chronione na podstawie przepisów o ochronie zabytków i opiece nad zabytkami. W analizowanym przypadku mamy do czynienia z terenem przemysłowym, silnie przekształconym antropogenicznie. </w:t>
      </w:r>
    </w:p>
    <w:p>
      <w:pPr>
        <w:pStyle w:val="Normal"/>
        <w:rPr/>
      </w:pPr>
      <w:r>
        <w:rPr/>
        <w:t xml:space="preserve">W przypadku natrafienia w trakcie prowadzonych robot budowlanych na przedmioty lub obiekty mogące być zabytkami, należy wstrzymać wszelkie roboty, mogące uszkodzić zabytek, zabezpieczyć odkrycie i powiadomić ŚWKZ w Katowicach, a jeśli nie jest to możliwe, Burmistrza Miasta Żywca (art. 32 ust. 1 ustawy z dn. 23 lipca 2003 r. </w:t>
      </w:r>
      <w:r>
        <w:rPr>
          <w:i/>
        </w:rPr>
        <w:t xml:space="preserve">o ochronie zabytków i opiece nad zabytkami </w:t>
      </w:r>
      <w:r>
        <w:rPr/>
        <w:t xml:space="preserve">Dz.U.2017.2187 t.j.). </w:t>
      </w:r>
    </w:p>
    <w:p>
      <w:pPr>
        <w:pStyle w:val="Normal"/>
        <w:spacing w:lineRule="auto" w:line="360"/>
        <w:rPr/>
      </w:pPr>
      <w:r>
        <w:rPr/>
      </w:r>
    </w:p>
    <w:p>
      <w:pPr>
        <w:pStyle w:val="Nagwek1"/>
        <w:numPr>
          <w:ilvl w:val="0"/>
          <w:numId w:val="2"/>
        </w:numPr>
        <w:rPr/>
      </w:pPr>
      <w:bookmarkStart w:id="61" w:name="_Toc518331323"/>
      <w:r>
        <w:rPr/>
        <w:t>OPIS PRZEWIDYWANYCH SKUTKÓW DLA ŚRODOWISKA W PRZYPADKU NIEPODEJMOWANIA PRZEDSIĘWZIĘCIA</w:t>
      </w:r>
      <w:bookmarkEnd w:id="61"/>
      <w:r>
        <w:rPr/>
        <w:t xml:space="preserve"> </w:t>
      </w:r>
    </w:p>
    <w:p>
      <w:pPr>
        <w:pStyle w:val="Normal"/>
        <w:rPr/>
      </w:pPr>
      <w:r>
        <w:rPr/>
        <w:t xml:space="preserve">Wariant polegający na zaniechaniu jakichkolwiek działań inwestycyjnych, wariant </w:t>
      </w:r>
      <w:r>
        <w:rPr>
          <w:i/>
        </w:rPr>
        <w:t>status quo</w:t>
      </w:r>
      <w:r>
        <w:rPr/>
        <w:t xml:space="preserve">, odstępujący od budowy ciepłowni na biomasę/RDF, nie zmieni dotychczasowego zagospodarowania nieruchomości. W chwili obecnej na tym terenie znajdują się nieużytkowane budynki gospodarcze (pomocniczy, magazynowy). </w:t>
      </w:r>
    </w:p>
    <w:p>
      <w:pPr>
        <w:pStyle w:val="Normal"/>
        <w:rPr/>
      </w:pPr>
      <w:r>
        <w:rPr/>
        <w:t xml:space="preserve">W analizowanym przypadku mamy do czynienia z terenem silnie przekształconym antropogenicznie. Wszystkie komponenty środowiska zostały przekształcone w wyniku wieloletniej aktywności przemysłowej. </w:t>
      </w:r>
    </w:p>
    <w:p>
      <w:pPr>
        <w:pStyle w:val="Normal"/>
        <w:rPr/>
      </w:pPr>
      <w:r>
        <w:rPr/>
        <w:t xml:space="preserve">Brak realizacji inwestycji spowoduje, że planowana produkcja ciepła będzie realizowana ze spalania paliw kopalnych, w tym głównie węgla oraz oleju opałowego, który jest głównym paliwem stosowanym na terenie Żywca. W związku z koniecznością ograniczania emisji z kotłów węglowych, każda inwestycja w czystą energię jest pożądana. </w:t>
      </w:r>
    </w:p>
    <w:p>
      <w:pPr>
        <w:pStyle w:val="Normal"/>
        <w:rPr>
          <w:szCs w:val="24"/>
        </w:rPr>
      </w:pPr>
      <w:r>
        <w:rPr>
          <w:szCs w:val="24"/>
        </w:rPr>
        <w:t xml:space="preserve">Można uznać, że nierealizowanie przedsięwzięcia byłoby w tym zakresie niezgodne z zapisami </w:t>
      </w:r>
      <w:r>
        <w:rPr>
          <w:i/>
          <w:szCs w:val="24"/>
        </w:rPr>
        <w:t>Planu Gospodarki Niskoemisyjnej dla Miasta Żywca</w:t>
      </w:r>
      <w:r>
        <w:rPr>
          <w:szCs w:val="24"/>
        </w:rPr>
        <w:t xml:space="preserve"> opracowanemu w 2015 r. Zapisy Planu wskazują, że jednym z głównych sposobów ograniczenia emisji na terenie miasta jest wdrażanie nowych technologii o wysokich reżimach emisyjnych.  </w:t>
      </w:r>
    </w:p>
    <w:p>
      <w:pPr>
        <w:pStyle w:val="Normal"/>
        <w:rPr>
          <w:szCs w:val="24"/>
        </w:rPr>
      </w:pPr>
      <w:r>
        <w:rPr>
          <w:szCs w:val="24"/>
        </w:rPr>
        <w:t>Wariant nierealizowania przedsięwzięcia będzie oznaczał niemożność wykorzystania energetycznego znaczącej ilości biomasy oraz paliwa alternatywnego. W chwili obecnej biomasa dostępna np. w związku z konserwacją urządzeń wodnych, w tym Jeziora Żywieckiego, a także wytwarzana jako odpady z gospodarki leśnej, nie jest wykorzystywana energetycznie lub jest wykorzystywana w znikomym stopniu. Odpady energetyczne do produkcji paliwa alternatywnego wytwarzane przez instalację przetwarzania odpadów Spółki Beskid Żywiec Sp. z o.o. muszą być wywożone do innych instalacji, głównie cementowni lub zakładów produkcyjne RDF. Wiąże się to z dodatkowymi kosztami, które generuje obecny system gospodarki odpadami w mieście i całym regionie oraz brakiem możliwości lokalnego wykorzystania RDF jako paliwa.</w:t>
      </w:r>
    </w:p>
    <w:p>
      <w:pPr>
        <w:pStyle w:val="Normal"/>
        <w:rPr>
          <w:szCs w:val="24"/>
        </w:rPr>
      </w:pPr>
      <w:r>
        <w:rPr>
          <w:szCs w:val="24"/>
        </w:rPr>
        <w:t xml:space="preserve">Biorąc pod uwagę  dotychczasową wielkość produkcji własnej RDF przez Spółkę Beskid Żywiec Sp. z o.o. na chwilę obecną nie można wykluczyć jej zwiększenia na bazie odpadów energetycznych od innych dostawców w przewidywanej ilości do 4300 Mg rocznie, co umożliwi zwiększenie ilości dostarczanej energii cieplnej i zwiększenie likwidacji niskiej emisji. </w:t>
      </w:r>
    </w:p>
    <w:p>
      <w:pPr>
        <w:pStyle w:val="Normal"/>
        <w:spacing w:lineRule="auto" w:line="360"/>
        <w:rPr>
          <w:szCs w:val="24"/>
        </w:rPr>
      </w:pPr>
      <w:r>
        <w:rPr>
          <w:szCs w:val="24"/>
        </w:rPr>
      </w:r>
    </w:p>
    <w:p>
      <w:pPr>
        <w:pStyle w:val="Nagwek1"/>
        <w:numPr>
          <w:ilvl w:val="0"/>
          <w:numId w:val="2"/>
        </w:numPr>
        <w:rPr/>
      </w:pPr>
      <w:bookmarkStart w:id="62" w:name="_Toc518331324"/>
      <w:r>
        <w:rPr/>
        <w:t>OPIS ANALIZOWANYCH WARIANTÓW PRZEDSIĘWZIĘCIA WRAZ Z UZASADNIENIEM ICH WYBORU</w:t>
      </w:r>
      <w:bookmarkEnd w:id="62"/>
      <w:r>
        <w:rPr/>
        <w:t xml:space="preserve"> </w:t>
      </w:r>
    </w:p>
    <w:p>
      <w:pPr>
        <w:pStyle w:val="Nagwek2"/>
        <w:numPr>
          <w:ilvl w:val="1"/>
          <w:numId w:val="2"/>
        </w:numPr>
        <w:ind w:hanging="578"/>
        <w:rPr>
          <w:color w:val="00000A"/>
        </w:rPr>
      </w:pPr>
      <w:bookmarkStart w:id="63" w:name="_Toc518331325"/>
      <w:r>
        <w:rPr/>
        <w:t xml:space="preserve">Wariant proponowany przez wnioskodawcę oraz racjonalny wariant </w:t>
      </w:r>
      <w:r>
        <w:rPr>
          <w:color w:val="00000A"/>
        </w:rPr>
        <w:t>alternatywny</w:t>
      </w:r>
      <w:bookmarkEnd w:id="63"/>
      <w:r>
        <w:rPr>
          <w:color w:val="00000A"/>
        </w:rPr>
        <w:t xml:space="preserve"> </w:t>
      </w:r>
    </w:p>
    <w:p>
      <w:pPr>
        <w:pStyle w:val="Normal"/>
        <w:rPr/>
      </w:pPr>
      <w:r>
        <w:rPr>
          <w:szCs w:val="24"/>
        </w:rPr>
        <w:t xml:space="preserve">W niniejszym raporcie rozpatrzone zostały dwie powszechnie stosowane technologie produkcji energii z odpadów. Biorąc pod uwagę dostępne technologie, ocenie poddano różne warianty technologii rusztowej. Tego typu instalacje są najczęściej stosowane w instalacjach termicznego przekształcania odpadów paliwa alternatywnego, ale także odpadów komunalnych. </w:t>
      </w:r>
      <w:r>
        <w:rPr/>
        <w:t xml:space="preserve">W paleniskach rusztowych mogą być spalane paliwa niskiej jakości o dużej zawartości wody, ponieważ czasy przebywania paliwa i powietrze do spalania można dopasować do szerokiego spektrum właściwości paliwa. Najczęściej stosowanym rodzajem rusztu dla spalarni na RDF jest ruszt ruchomy.  </w:t>
      </w:r>
    </w:p>
    <w:p>
      <w:pPr>
        <w:pStyle w:val="Normal"/>
        <w:rPr>
          <w:szCs w:val="24"/>
        </w:rPr>
      </w:pPr>
      <w:r>
        <w:rPr>
          <w:szCs w:val="24"/>
        </w:rPr>
        <w:t xml:space="preserve">Instalacje rusztowe wykorzystywane są przez oddawane w Polsce w ostatnich latach instalacjach termicznego przekształcania odpadów. Przedsięwzięcia przeszły szczegółowe procedury oceny oddziaływania na środowisko, które potwierdziły ich optymalną użyteczność oraz minimalne oddziaływanie. </w:t>
      </w:r>
    </w:p>
    <w:p>
      <w:pPr>
        <w:pStyle w:val="Normal"/>
        <w:rPr>
          <w:szCs w:val="24"/>
        </w:rPr>
      </w:pPr>
      <w:r>
        <w:rPr>
          <w:szCs w:val="24"/>
        </w:rPr>
        <w:t xml:space="preserve">W ramach prac zdefiniowane zostały dwa, następujące warianty: </w:t>
      </w:r>
    </w:p>
    <w:p>
      <w:pPr>
        <w:pStyle w:val="Normal"/>
        <w:numPr>
          <w:ilvl w:val="0"/>
          <w:numId w:val="34"/>
        </w:numPr>
        <w:rPr/>
      </w:pPr>
      <w:r>
        <w:rPr/>
        <w:t xml:space="preserve">Wariant 1 - budowa Zakładu opartego o technologię rusztową z półsuchym systemem oczyszczania spalin (wariant proponowany przez Wnioskodawcę). </w:t>
      </w:r>
    </w:p>
    <w:p>
      <w:pPr>
        <w:pStyle w:val="Normal"/>
        <w:ind w:left="720" w:hanging="0"/>
        <w:rPr>
          <w:color w:val="00000A"/>
          <w:szCs w:val="22"/>
        </w:rPr>
      </w:pPr>
      <w:r>
        <w:rPr>
          <w:color w:val="00000A"/>
          <w:szCs w:val="22"/>
        </w:rPr>
        <w:t xml:space="preserve">Wariant ten polegał będzie na budowie ciepłowni o wydajności 12300 Mg/rok, w którym proces termicznego przekształcania odpadów zachodził będzie w piecu rusztowym. Odzyskana w kotle energia posłuży do produkcji energii cieplnej. </w:t>
      </w:r>
    </w:p>
    <w:p>
      <w:pPr>
        <w:pStyle w:val="Normal"/>
        <w:numPr>
          <w:ilvl w:val="0"/>
          <w:numId w:val="34"/>
        </w:numPr>
        <w:rPr/>
      </w:pPr>
      <w:r>
        <w:rPr/>
        <w:t xml:space="preserve">Wariant 2 - budowa Zakładu opartego o technologię rusztową z mokrym lub mieszanym systemem oczyszczania spalin (wariant alternatywny). </w:t>
      </w:r>
    </w:p>
    <w:p>
      <w:pPr>
        <w:pStyle w:val="Normal"/>
        <w:ind w:left="720" w:hanging="0"/>
        <w:rPr/>
      </w:pPr>
      <w:r>
        <w:rPr/>
        <w:t>Wariant ten polegał będzie na budowie ciepłowni o wydajności 12300 Mg/rok, w którym proces termicznego przekształcania odpadów zachodził będzie w piecu rusztowym. Odzyskana w kotle energia posłuży do produkcji energii cieplnej. Oczyszczanie spalin będzie się odbywało w systemie mokrym lub mieszanym.</w:t>
      </w:r>
    </w:p>
    <w:p>
      <w:pPr>
        <w:pStyle w:val="Normal"/>
        <w:rPr>
          <w:szCs w:val="24"/>
        </w:rPr>
      </w:pPr>
      <w:r>
        <w:rPr>
          <w:szCs w:val="24"/>
        </w:rPr>
        <w:t xml:space="preserve">Powyższe warianty zostały scharakteryzowane, a następnie poddane analizie wielokryterialnej, w wyniku której został wskazany wariant najkorzystniejszy dla środowiska. </w:t>
      </w:r>
    </w:p>
    <w:p>
      <w:pPr>
        <w:pStyle w:val="Normal"/>
        <w:rPr>
          <w:szCs w:val="24"/>
        </w:rPr>
      </w:pPr>
      <w:r>
        <w:rPr>
          <w:szCs w:val="24"/>
        </w:rPr>
      </w:r>
    </w:p>
    <w:p>
      <w:pPr>
        <w:pStyle w:val="Nagwek3"/>
        <w:numPr>
          <w:ilvl w:val="2"/>
          <w:numId w:val="2"/>
        </w:numPr>
        <w:ind w:hanging="851"/>
        <w:rPr/>
      </w:pPr>
      <w:bookmarkStart w:id="64" w:name="_Toc518331326"/>
      <w:bookmarkEnd w:id="64"/>
      <w:r>
        <w:rPr/>
        <w:t>Wariantu proponowany przez Wnioskodawcę (wariant 1)</w:t>
      </w:r>
    </w:p>
    <w:p>
      <w:pPr>
        <w:pStyle w:val="Normal"/>
        <w:rPr>
          <w:szCs w:val="24"/>
        </w:rPr>
      </w:pPr>
      <w:r>
        <w:rPr>
          <w:szCs w:val="24"/>
        </w:rPr>
        <w:t xml:space="preserve">W ramach niniejszego Raportu wariantem proponowanym przez Wnioskodawcę jest wariant inwestycyjny polegający na budowie ciepłowni na biomasę i RDF o mocy użytecznej 5 MW, w oparciu o termiczne przekształcanie z odzyskiem energii w technologii rusztowej. Szczegółowy opis procesu technologicznego znajduję się w rozdziale 2.4. </w:t>
      </w:r>
    </w:p>
    <w:p>
      <w:pPr>
        <w:pStyle w:val="Normal"/>
        <w:rPr>
          <w:szCs w:val="24"/>
        </w:rPr>
      </w:pPr>
      <w:r>
        <w:rPr>
          <w:szCs w:val="24"/>
        </w:rPr>
      </w:r>
    </w:p>
    <w:p>
      <w:pPr>
        <w:pStyle w:val="Nagwek3"/>
        <w:numPr>
          <w:ilvl w:val="2"/>
          <w:numId w:val="2"/>
        </w:numPr>
        <w:ind w:hanging="851"/>
        <w:rPr/>
      </w:pPr>
      <w:bookmarkStart w:id="65" w:name="_Toc518331327"/>
      <w:r>
        <w:rPr/>
        <w:t>Racjonalny wariant alternatywny (wariant 2)</w:t>
      </w:r>
      <w:bookmarkEnd w:id="65"/>
      <w:r>
        <w:rPr/>
        <w:t xml:space="preserve"> </w:t>
      </w:r>
    </w:p>
    <w:p>
      <w:pPr>
        <w:pStyle w:val="Normal"/>
        <w:rPr>
          <w:szCs w:val="24"/>
        </w:rPr>
      </w:pPr>
      <w:r>
        <w:rPr>
          <w:szCs w:val="24"/>
        </w:rPr>
        <w:t>Ze względu na to, że rusztowe technologie spalania odpadów są najbardziej powszechną stosowaną technologią termicznego przekształcania odpadów, racjonalnym rozważanym alternatywnym wariantem realizacji inwestycji jest budowa rusztowej instalacji termicznego przekształcania odpadów z zastosowaniem mokrego systemu oczyszczania spalin.</w:t>
      </w:r>
    </w:p>
    <w:p>
      <w:pPr>
        <w:pStyle w:val="Normal"/>
        <w:rPr>
          <w:szCs w:val="24"/>
        </w:rPr>
      </w:pPr>
      <w:r>
        <w:rPr>
          <w:szCs w:val="24"/>
        </w:rPr>
        <w:t xml:space="preserve">Poniżej dokonano charakterystyki rozważanego racjonalnego wariantu alternatywnego. </w:t>
      </w:r>
    </w:p>
    <w:p>
      <w:pPr>
        <w:pStyle w:val="Normal"/>
        <w:rPr>
          <w:szCs w:val="24"/>
        </w:rPr>
      </w:pPr>
      <w:r>
        <w:rPr>
          <w:szCs w:val="24"/>
        </w:rPr>
        <w:t>Z punktu widzenia przebiegu procesu technologicznego technologia rusztowa z mokrym lub mieszanym systemem oczyszczania spalin jest bardzo zbliżona do prezentowanej technologii suchej. Podawanie paliwa, jego spalanie na ruszcie ruchomym, odzysk ciepła w kotle odzysknicowym przebiegają analogicznie do opisanej technologii proponowanej przez Inwestora. Zasadnicze różnice dotyczą procesów zachodzących na etapie oczyszczania spalin.</w:t>
      </w:r>
    </w:p>
    <w:p>
      <w:pPr>
        <w:pStyle w:val="Normal"/>
        <w:rPr/>
      </w:pPr>
      <w:r>
        <w:rPr/>
        <w:t>Mokry układ usuwania gazów kwaśnych jest to układ dwustopniowy, najczęściej funkcjonujący w dużych spalarniach odpadów komunalnych. W pierwszym stopniu następuje schładzanie spalin zimną wodą, nawilżanie i absorpcja chlorowodoru oraz fluorowodoru przy pH równym około 2,0, zaś w drugim stopniu absorpcja pozostałych gazów kwaśnych (przede wszystkim SO</w:t>
      </w:r>
      <w:r>
        <w:rPr>
          <w:vertAlign w:val="subscript"/>
        </w:rPr>
        <w:t>2</w:t>
      </w:r>
      <w:r>
        <w:rPr/>
        <w:t>) w zawiesinie wodorotlenku lub węglanu wapniowego przy pH około 5,5, a czasem wodorotlenku sodowego lub węglanu albo wodorosiarczynu sodowego. Powyższa technologia polega na zraszaniu strumienia spalin reagentami w postaci ciekłej. Rozwiązanie takie generuje powstawanie ścieków przemysłowych i konieczność dobudowywania obok instalacji specjalnie zabezpieczonych zbiorników, w których znajdują się ścieki. W ostatnich latach obserwuje się odchodzenie od systemów mokrych, ze względu na konieczność ponoszenia dodatkowych kosztów na dodatkowe instalacje i oczyszczanie ścieków. Stosowanie reagentów wiąże się również z zastosowaniem dodatkowych zabezpieczeń wpływających na funkcjonowanie zakładu. Reagenty są substancjami niebezpiecznymi.</w:t>
      </w:r>
    </w:p>
    <w:p>
      <w:pPr>
        <w:pStyle w:val="Normal"/>
        <w:spacing w:before="0" w:after="120"/>
        <w:rPr/>
      </w:pPr>
      <w:r>
        <w:rPr/>
        <w:t xml:space="preserve">Poniżej przedstawione zostały podstawowe informacje dotyczące konsumpcji, produktów oraz pozostałości poprocesowych, charakterystycznych dla technologii z mokrym lub mieszanym. </w:t>
      </w:r>
    </w:p>
    <w:p>
      <w:pPr>
        <w:pStyle w:val="Normal"/>
        <w:rPr>
          <w:u w:val="single"/>
        </w:rPr>
      </w:pPr>
      <w:r>
        <w:rPr>
          <w:u w:val="single"/>
        </w:rPr>
        <w:t xml:space="preserve">Konsumpcje </w:t>
      </w:r>
    </w:p>
    <w:p>
      <w:pPr>
        <w:pStyle w:val="Normal"/>
        <w:rPr/>
      </w:pPr>
      <w:r>
        <w:rPr/>
        <w:t xml:space="preserve">W przypadku technologii spalania z mokrym lub mieszanym systemem oczyszczania spalin stosowane są następujące media, reagenty i chemikalia: </w:t>
      </w:r>
    </w:p>
    <w:p>
      <w:pPr>
        <w:pStyle w:val="Normal"/>
        <w:numPr>
          <w:ilvl w:val="0"/>
          <w:numId w:val="34"/>
        </w:numPr>
        <w:rPr/>
      </w:pPr>
      <w:r>
        <w:rPr/>
        <w:t xml:space="preserve">Energia elektryczna – zużywana jest do napędu urządzeń pracujących w ramach Instalacji. </w:t>
      </w:r>
    </w:p>
    <w:p>
      <w:pPr>
        <w:pStyle w:val="Normal"/>
        <w:numPr>
          <w:ilvl w:val="0"/>
          <w:numId w:val="34"/>
        </w:numPr>
        <w:rPr/>
      </w:pPr>
      <w:r>
        <w:rPr/>
        <w:t xml:space="preserve">Paliwo wspomagające – olej opałowy lub gaz ziemny zużywany w palnikach rozpałkowych i jeżeli jest to konieczne wspomagających proces spalania i wygaszania; </w:t>
      </w:r>
    </w:p>
    <w:p>
      <w:pPr>
        <w:pStyle w:val="Normal"/>
        <w:numPr>
          <w:ilvl w:val="0"/>
          <w:numId w:val="34"/>
        </w:numPr>
        <w:rPr/>
      </w:pPr>
      <w:r>
        <w:rPr/>
        <w:t xml:space="preserve">Woda – stosowana głównie w procesie oczyszczania spalin, na cele przygotowania wody kotłowej oraz do utrzymania porządku i czystości na terenie Zakładu. </w:t>
      </w:r>
    </w:p>
    <w:p>
      <w:pPr>
        <w:pStyle w:val="Normal"/>
        <w:numPr>
          <w:ilvl w:val="0"/>
          <w:numId w:val="34"/>
        </w:numPr>
        <w:rPr/>
      </w:pPr>
      <w:r>
        <w:rPr/>
        <w:t xml:space="preserve">Węgiel aktywny – reagent stosowany w procesie oczyszczania spalin w celu adsorpcji dioksyn, furanów i metali ciężkich. </w:t>
      </w:r>
    </w:p>
    <w:p>
      <w:pPr>
        <w:pStyle w:val="Normal"/>
        <w:numPr>
          <w:ilvl w:val="0"/>
          <w:numId w:val="34"/>
        </w:numPr>
        <w:rPr/>
      </w:pPr>
      <w:r>
        <w:rPr/>
        <w:t xml:space="preserve">Tlenek wapnia, wodorotlenek wapnia, wodorotlenek sodu, kwaśny węglan sodu – reagenty stosowane w procesie oczyszczania spalin, wybór reagenta zależny od zastosowanego układu. </w:t>
      </w:r>
    </w:p>
    <w:p>
      <w:pPr>
        <w:pStyle w:val="Normal"/>
        <w:numPr>
          <w:ilvl w:val="0"/>
          <w:numId w:val="34"/>
        </w:numPr>
        <w:spacing w:before="0" w:after="120"/>
        <w:ind w:left="714" w:hanging="357"/>
        <w:rPr/>
      </w:pPr>
      <w:r>
        <w:rPr/>
        <w:t xml:space="preserve">Woda amoniakalna (40%-owy roztwór amoniaku), alternatywnie mocznik - reagent stosowany w procesie oczyszczania spalin. </w:t>
      </w:r>
    </w:p>
    <w:p>
      <w:pPr>
        <w:pStyle w:val="Normal"/>
        <w:rPr>
          <w:u w:val="single"/>
        </w:rPr>
      </w:pPr>
      <w:r>
        <w:rPr>
          <w:u w:val="single"/>
        </w:rPr>
        <w:t xml:space="preserve">Produkty, pozostałości poprocesowe i emisje </w:t>
      </w:r>
    </w:p>
    <w:p>
      <w:pPr>
        <w:pStyle w:val="Normal"/>
        <w:rPr/>
      </w:pPr>
      <w:r>
        <w:rPr/>
        <w:t xml:space="preserve">W przypadku technologii spalania z mokrym lub mieszanym systemem oczyszczania spalin, występują następujące strumienie produktów i pozostałości poprocesowych: </w:t>
      </w:r>
    </w:p>
    <w:p>
      <w:pPr>
        <w:pStyle w:val="Normal"/>
        <w:numPr>
          <w:ilvl w:val="0"/>
          <w:numId w:val="34"/>
        </w:numPr>
        <w:rPr/>
      </w:pPr>
      <w:r>
        <w:rPr/>
        <w:t xml:space="preserve">Energia cieplna w ilości wynikającej z mocy instalacji; </w:t>
      </w:r>
    </w:p>
    <w:p>
      <w:pPr>
        <w:pStyle w:val="Normal"/>
        <w:numPr>
          <w:ilvl w:val="0"/>
          <w:numId w:val="34"/>
        </w:numPr>
        <w:rPr/>
      </w:pPr>
      <w:r>
        <w:rPr/>
        <w:t xml:space="preserve">Pozostałości poprocesowe i emisje: </w:t>
      </w:r>
    </w:p>
    <w:p>
      <w:pPr>
        <w:pStyle w:val="Normal"/>
        <w:numPr>
          <w:ilvl w:val="0"/>
          <w:numId w:val="41"/>
        </w:numPr>
        <w:rPr/>
      </w:pPr>
      <w:r>
        <w:rPr/>
        <w:t xml:space="preserve">Gazy odlotowe – oczyszczone do poziomów zgodnych z obowiązującymi standardami emisyjnymi. </w:t>
      </w:r>
    </w:p>
    <w:p>
      <w:pPr>
        <w:pStyle w:val="Normal"/>
        <w:numPr>
          <w:ilvl w:val="0"/>
          <w:numId w:val="41"/>
        </w:numPr>
        <w:rPr/>
      </w:pPr>
      <w:r>
        <w:rPr/>
        <w:t xml:space="preserve">Stałe odpady poprocesowe, w szczególności: </w:t>
      </w:r>
    </w:p>
    <w:p>
      <w:pPr>
        <w:pStyle w:val="Normal"/>
        <w:numPr>
          <w:ilvl w:val="0"/>
          <w:numId w:val="41"/>
        </w:numPr>
        <w:rPr/>
      </w:pPr>
      <w:r>
        <w:rPr/>
        <w:t xml:space="preserve">Popioły denne. </w:t>
      </w:r>
    </w:p>
    <w:p>
      <w:pPr>
        <w:pStyle w:val="Normal"/>
        <w:numPr>
          <w:ilvl w:val="0"/>
          <w:numId w:val="41"/>
        </w:numPr>
        <w:rPr/>
      </w:pPr>
      <w:r>
        <w:rPr/>
        <w:t xml:space="preserve">Pyły i popioły lotne. </w:t>
      </w:r>
    </w:p>
    <w:p>
      <w:pPr>
        <w:pStyle w:val="Normal"/>
        <w:numPr>
          <w:ilvl w:val="0"/>
          <w:numId w:val="41"/>
        </w:numPr>
        <w:rPr/>
      </w:pPr>
      <w:r>
        <w:rPr/>
        <w:t xml:space="preserve">Pozostałości po chemicznym oczyszczaniu spalin. </w:t>
      </w:r>
    </w:p>
    <w:p>
      <w:pPr>
        <w:pStyle w:val="Normal"/>
        <w:numPr>
          <w:ilvl w:val="0"/>
          <w:numId w:val="41"/>
        </w:numPr>
        <w:rPr/>
      </w:pPr>
      <w:r>
        <w:rPr/>
        <w:t xml:space="preserve">Ścieki, w szczególności: </w:t>
      </w:r>
    </w:p>
    <w:p>
      <w:pPr>
        <w:pStyle w:val="Normal"/>
        <w:numPr>
          <w:ilvl w:val="1"/>
          <w:numId w:val="42"/>
        </w:numPr>
        <w:rPr/>
      </w:pPr>
      <w:r>
        <w:rPr/>
        <w:t>Ścieki technologiczne z oczyszczania spalin, ścieki związane z utrzymaniem czystości.</w:t>
      </w:r>
    </w:p>
    <w:p>
      <w:pPr>
        <w:pStyle w:val="Normal"/>
        <w:numPr>
          <w:ilvl w:val="1"/>
          <w:numId w:val="42"/>
        </w:numPr>
        <w:rPr/>
      </w:pPr>
      <w:r>
        <w:rPr/>
        <w:t xml:space="preserve">Wody opadowe i roztopowe. </w:t>
      </w:r>
    </w:p>
    <w:p>
      <w:pPr>
        <w:pStyle w:val="Normal"/>
        <w:numPr>
          <w:ilvl w:val="1"/>
          <w:numId w:val="42"/>
        </w:numPr>
        <w:spacing w:before="0" w:after="120"/>
        <w:ind w:left="1434" w:hanging="357"/>
        <w:rPr/>
      </w:pPr>
      <w:r>
        <w:rPr/>
        <w:t xml:space="preserve">Ścieki socjalno-bytowe. </w:t>
      </w:r>
    </w:p>
    <w:p>
      <w:pPr>
        <w:pStyle w:val="Normal"/>
        <w:rPr/>
      </w:pPr>
      <w:r>
        <w:rPr/>
        <w:t>Pobieżna analiza wskazuje, że w stosunku do proponowanej przez Inwestora technologii suchej, w technologii mokrej mamy do czynienia z analogicznym zapotrzebowaniem, zużyciem i produkcją oprócz gospodarki chemikaliami i wodno – ściekowej. Stosowany w tej technologii roztwór amoniaku zaliczany jest do substancji niebezpiecznej, stwarzającej zagrożenie dla zdrowia ludzi oraz dla środowiska wodnego. Wybór technologii suchej oczyszczania spalin eliminuje zagrożenie wystąpienia zdarzeń awaryjnych/poważnych awarii związanych ze znajdowaniem się roztworu amoniaku, który byłby wykorzystywany do mokrego oczyszczania spalin na terenie planowanego przedsięwzięcia. Zgodnie z Rozporządzeniem (WE) nr 1272/2008 (CLP) około 30-35 % roztwór amoniaku posiada przypisane następujące klasy i kategorie zagrożenia:</w:t>
      </w:r>
    </w:p>
    <w:p>
      <w:pPr>
        <w:pStyle w:val="Normal"/>
        <w:numPr>
          <w:ilvl w:val="0"/>
          <w:numId w:val="34"/>
        </w:numPr>
        <w:rPr/>
      </w:pPr>
      <w:r>
        <w:rPr/>
        <w:t>substancja lub mieszanina powodująca korozję metali (Met. Corr. 1),</w:t>
      </w:r>
    </w:p>
    <w:p>
      <w:pPr>
        <w:pStyle w:val="Normal"/>
        <w:numPr>
          <w:ilvl w:val="0"/>
          <w:numId w:val="34"/>
        </w:numPr>
        <w:rPr/>
      </w:pPr>
      <w:r>
        <w:rPr/>
        <w:t>działanie żrące/podrażniające na skórę (Skin Corr. 1B),</w:t>
      </w:r>
    </w:p>
    <w:p>
      <w:pPr>
        <w:pStyle w:val="Normal"/>
        <w:numPr>
          <w:ilvl w:val="0"/>
          <w:numId w:val="34"/>
        </w:numPr>
        <w:rPr/>
      </w:pPr>
      <w:r>
        <w:rPr/>
        <w:t>poważne uszkodzenie oczu/działanie drażniące na oczy (Eye Dam. 1),</w:t>
      </w:r>
    </w:p>
    <w:p>
      <w:pPr>
        <w:pStyle w:val="Normal"/>
        <w:numPr>
          <w:ilvl w:val="0"/>
          <w:numId w:val="34"/>
        </w:numPr>
        <w:rPr/>
      </w:pPr>
      <w:r>
        <w:rPr/>
        <w:t>działanie toksyczne na narządy docelowe – narażenie jednorazowe (podrażnienia dróg oddechowych) (STOT SE 3),</w:t>
      </w:r>
    </w:p>
    <w:p>
      <w:pPr>
        <w:pStyle w:val="Normal"/>
        <w:numPr>
          <w:ilvl w:val="0"/>
          <w:numId w:val="34"/>
        </w:numPr>
        <w:rPr/>
      </w:pPr>
      <w:r>
        <w:rPr/>
        <w:t>stwarzające zagrożenie dla środowiska wodnego - zagrożenie ostre (Aquatic Acute 1).</w:t>
      </w:r>
    </w:p>
    <w:p>
      <w:pPr>
        <w:pStyle w:val="Normal"/>
        <w:rPr/>
      </w:pPr>
      <w:r>
        <w:rPr/>
      </w:r>
    </w:p>
    <w:p>
      <w:pPr>
        <w:pStyle w:val="Nagwek2"/>
        <w:numPr>
          <w:ilvl w:val="1"/>
          <w:numId w:val="2"/>
        </w:numPr>
        <w:ind w:hanging="578"/>
        <w:rPr/>
      </w:pPr>
      <w:bookmarkStart w:id="66" w:name="_Toc518331328"/>
      <w:r>
        <w:rPr/>
        <w:t>Wariant najkorzystniejszy dla środowiska</w:t>
      </w:r>
      <w:bookmarkEnd w:id="66"/>
      <w:r>
        <w:rPr/>
        <w:t xml:space="preserve"> </w:t>
      </w:r>
    </w:p>
    <w:p>
      <w:pPr>
        <w:pStyle w:val="Nagwek3"/>
        <w:numPr>
          <w:ilvl w:val="2"/>
          <w:numId w:val="2"/>
        </w:numPr>
        <w:ind w:hanging="851"/>
        <w:rPr/>
      </w:pPr>
      <w:bookmarkStart w:id="67" w:name="_Toc518331329"/>
      <w:bookmarkEnd w:id="67"/>
      <w:r>
        <w:rPr/>
        <w:t>Metodyka wyboru wariantu</w:t>
      </w:r>
    </w:p>
    <w:p>
      <w:pPr>
        <w:pStyle w:val="Normal"/>
        <w:rPr/>
      </w:pPr>
      <w:r>
        <w:rPr/>
        <w:t xml:space="preserve">Wybór najkorzystniejszego wariantu dokonany został na podstawie waloryzacji. W celu oceny wariantów ustalono następujące kryteria główne: </w:t>
      </w:r>
    </w:p>
    <w:p>
      <w:pPr>
        <w:pStyle w:val="Normal"/>
        <w:numPr>
          <w:ilvl w:val="0"/>
          <w:numId w:val="43"/>
        </w:numPr>
        <w:rPr/>
      </w:pPr>
      <w:r>
        <w:rPr/>
        <w:t xml:space="preserve">środowiskowe, </w:t>
      </w:r>
    </w:p>
    <w:p>
      <w:pPr>
        <w:pStyle w:val="Normal"/>
        <w:numPr>
          <w:ilvl w:val="0"/>
          <w:numId w:val="43"/>
        </w:numPr>
        <w:rPr/>
      </w:pPr>
      <w:r>
        <w:rPr/>
        <w:t xml:space="preserve">technologiczne, </w:t>
      </w:r>
    </w:p>
    <w:p>
      <w:pPr>
        <w:pStyle w:val="Normal"/>
        <w:numPr>
          <w:ilvl w:val="0"/>
          <w:numId w:val="43"/>
        </w:numPr>
        <w:rPr/>
      </w:pPr>
      <w:r>
        <w:rPr/>
        <w:t xml:space="preserve">ekonomiczne, </w:t>
      </w:r>
    </w:p>
    <w:p>
      <w:pPr>
        <w:pStyle w:val="Normal"/>
        <w:numPr>
          <w:ilvl w:val="0"/>
          <w:numId w:val="43"/>
        </w:numPr>
        <w:rPr/>
      </w:pPr>
      <w:r>
        <w:rPr/>
        <w:t xml:space="preserve">prawne i społeczne. </w:t>
      </w:r>
    </w:p>
    <w:p>
      <w:pPr>
        <w:pStyle w:val="Normal"/>
        <w:spacing w:before="0" w:after="120"/>
        <w:rPr/>
      </w:pPr>
      <w:r>
        <w:rPr/>
        <w:t xml:space="preserve">W ramach każdego kryterium głównego zostały sformułowane dodatkowe kryteria szczegółowe. Podejście takie pozwoliło na wyłonienie opcji optymalnej, z uwzględnieniem wszystkich kryteriów wyboru uznanych za istotne. Poziom istotności będzie przy tym zróżnicowany poprzez założone wartości wag. Poniżej przestawiono kryteria szczegółowe w ramach każdego z kryteriów głównych. </w:t>
      </w:r>
    </w:p>
    <w:p>
      <w:pPr>
        <w:pStyle w:val="Normal"/>
        <w:rPr/>
      </w:pPr>
      <w:r>
        <w:rPr>
          <w:u w:val="single"/>
        </w:rPr>
        <w:t>Kryterium środowiskowe</w:t>
      </w:r>
    </w:p>
    <w:p>
      <w:pPr>
        <w:pStyle w:val="Normal"/>
        <w:rPr/>
      </w:pPr>
      <w:r>
        <w:rPr/>
        <w:t>Kryteria szczegółowe:</w:t>
      </w:r>
    </w:p>
    <w:p>
      <w:pPr>
        <w:pStyle w:val="Normal"/>
        <w:numPr>
          <w:ilvl w:val="0"/>
          <w:numId w:val="34"/>
        </w:numPr>
        <w:rPr/>
      </w:pPr>
      <w:r>
        <w:rPr/>
        <w:t xml:space="preserve">Emisje do powietrza; </w:t>
      </w:r>
    </w:p>
    <w:p>
      <w:pPr>
        <w:pStyle w:val="Normal"/>
        <w:numPr>
          <w:ilvl w:val="0"/>
          <w:numId w:val="34"/>
        </w:numPr>
        <w:rPr/>
      </w:pPr>
      <w:r>
        <w:rPr/>
        <w:t xml:space="preserve">Ilość i jakość odpadów poprocesowych; </w:t>
      </w:r>
    </w:p>
    <w:p>
      <w:pPr>
        <w:pStyle w:val="Normal"/>
        <w:numPr>
          <w:ilvl w:val="0"/>
          <w:numId w:val="34"/>
        </w:numPr>
        <w:rPr/>
      </w:pPr>
      <w:r>
        <w:rPr/>
        <w:t xml:space="preserve">Produkcja ścieków; </w:t>
      </w:r>
    </w:p>
    <w:p>
      <w:pPr>
        <w:pStyle w:val="Normal"/>
        <w:numPr>
          <w:ilvl w:val="0"/>
          <w:numId w:val="34"/>
        </w:numPr>
        <w:spacing w:before="0" w:after="120"/>
        <w:ind w:left="714" w:hanging="357"/>
        <w:rPr/>
      </w:pPr>
      <w:r>
        <w:rPr/>
        <w:t xml:space="preserve">Emisja hałasu. </w:t>
      </w:r>
    </w:p>
    <w:p>
      <w:pPr>
        <w:pStyle w:val="Normal"/>
        <w:rPr>
          <w:u w:val="single"/>
        </w:rPr>
      </w:pPr>
      <w:r>
        <w:rPr>
          <w:u w:val="single"/>
        </w:rPr>
        <w:t>Kryterium technologiczne</w:t>
      </w:r>
    </w:p>
    <w:p>
      <w:pPr>
        <w:pStyle w:val="Normal"/>
        <w:rPr/>
      </w:pPr>
      <w:r>
        <w:rPr/>
        <w:t>Kryteria szczegółowe:</w:t>
      </w:r>
    </w:p>
    <w:p>
      <w:pPr>
        <w:pStyle w:val="Normal"/>
        <w:numPr>
          <w:ilvl w:val="0"/>
          <w:numId w:val="34"/>
        </w:numPr>
        <w:ind w:left="714" w:hanging="357"/>
        <w:rPr/>
      </w:pPr>
      <w:r>
        <w:rPr/>
        <w:t>Referencyjność, stopień złożoności procesu oraz dostępność serwisu;</w:t>
      </w:r>
    </w:p>
    <w:p>
      <w:pPr>
        <w:pStyle w:val="Normal"/>
        <w:numPr>
          <w:ilvl w:val="0"/>
          <w:numId w:val="34"/>
        </w:numPr>
        <w:rPr/>
      </w:pPr>
      <w:r>
        <w:rPr/>
        <w:t xml:space="preserve">Możliwość uzupełniania wsadu biomasą o różnym stopniu wilgotności; </w:t>
      </w:r>
    </w:p>
    <w:p>
      <w:pPr>
        <w:pStyle w:val="Normal"/>
        <w:numPr>
          <w:ilvl w:val="0"/>
          <w:numId w:val="34"/>
        </w:numPr>
        <w:spacing w:before="0" w:after="120"/>
        <w:ind w:left="714" w:hanging="357"/>
        <w:rPr/>
      </w:pPr>
      <w:r>
        <w:rPr/>
        <w:t xml:space="preserve">Wrażliwość na zmianę wartości opałowej wsadu. </w:t>
      </w:r>
    </w:p>
    <w:p>
      <w:pPr>
        <w:pStyle w:val="Normal"/>
        <w:rPr>
          <w:u w:val="single"/>
        </w:rPr>
      </w:pPr>
      <w:r>
        <w:rPr>
          <w:u w:val="single"/>
        </w:rPr>
        <w:t>Kryterium ekonomiczne</w:t>
      </w:r>
    </w:p>
    <w:p>
      <w:pPr>
        <w:pStyle w:val="Normal"/>
        <w:ind w:left="360" w:firstLine="37"/>
        <w:rPr/>
      </w:pPr>
      <w:r>
        <w:rPr/>
        <w:t>Kryteria szczegółowe:</w:t>
      </w:r>
    </w:p>
    <w:p>
      <w:pPr>
        <w:pStyle w:val="Normal"/>
        <w:numPr>
          <w:ilvl w:val="0"/>
          <w:numId w:val="34"/>
        </w:numPr>
        <w:rPr/>
      </w:pPr>
      <w:r>
        <w:rPr/>
        <w:t xml:space="preserve">Nakłady inwestycyjne związane z budową Zakładu; </w:t>
      </w:r>
    </w:p>
    <w:p>
      <w:pPr>
        <w:pStyle w:val="Normal"/>
        <w:numPr>
          <w:ilvl w:val="0"/>
          <w:numId w:val="34"/>
        </w:numPr>
        <w:rPr/>
      </w:pPr>
      <w:r>
        <w:rPr/>
        <w:t xml:space="preserve">Koszty eksploatacji Zakładu; </w:t>
      </w:r>
    </w:p>
    <w:p>
      <w:pPr>
        <w:pStyle w:val="Normal"/>
        <w:numPr>
          <w:ilvl w:val="0"/>
          <w:numId w:val="34"/>
        </w:numPr>
        <w:spacing w:before="0" w:after="120"/>
        <w:ind w:left="714" w:hanging="357"/>
        <w:rPr/>
      </w:pPr>
      <w:r>
        <w:rPr/>
        <w:t xml:space="preserve">Przychody z tytułu eksploatacji Zakładu. </w:t>
      </w:r>
    </w:p>
    <w:p>
      <w:pPr>
        <w:pStyle w:val="Normal"/>
        <w:rPr>
          <w:u w:val="single"/>
        </w:rPr>
      </w:pPr>
      <w:r>
        <w:rPr>
          <w:u w:val="single"/>
        </w:rPr>
        <w:t>Kryterium prawne i społeczne</w:t>
      </w:r>
    </w:p>
    <w:p>
      <w:pPr>
        <w:pStyle w:val="Normal"/>
        <w:ind w:left="360" w:firstLine="37"/>
        <w:rPr/>
      </w:pPr>
      <w:r>
        <w:rPr/>
        <w:t>Kryteria szczegółowe:</w:t>
      </w:r>
    </w:p>
    <w:p>
      <w:pPr>
        <w:pStyle w:val="Normal"/>
        <w:numPr>
          <w:ilvl w:val="0"/>
          <w:numId w:val="34"/>
        </w:numPr>
        <w:rPr/>
      </w:pPr>
      <w:r>
        <w:rPr/>
        <w:t xml:space="preserve">Możliwość wystąpienia konfliktów społecznych, wynikających z realizacji inwestycji; </w:t>
      </w:r>
    </w:p>
    <w:p>
      <w:pPr>
        <w:pStyle w:val="Normal"/>
        <w:numPr>
          <w:ilvl w:val="0"/>
          <w:numId w:val="34"/>
        </w:numPr>
        <w:spacing w:before="0" w:after="120"/>
        <w:ind w:left="714" w:hanging="357"/>
        <w:rPr/>
      </w:pPr>
      <w:r>
        <w:rPr/>
        <w:t xml:space="preserve">Ryzyko związane z koniecznością modernizacji instalacji wskutek zmian prawa. </w:t>
      </w:r>
    </w:p>
    <w:p>
      <w:pPr>
        <w:pStyle w:val="Normal"/>
        <w:rPr/>
      </w:pPr>
      <w:r>
        <w:rPr/>
        <w:t xml:space="preserve">Waloryzacja została przeprowadzona i zaprezentowana w postaci macierzy, gdzie wszystkie wskazane kryteria oceniono punktowo oddzielnie dla każdego wariantu. </w:t>
      </w:r>
    </w:p>
    <w:p>
      <w:pPr>
        <w:pStyle w:val="Normal"/>
        <w:rPr/>
      </w:pPr>
      <w:r>
        <w:rPr/>
        <w:t xml:space="preserve">Każdemu z kryteriów głównych i szczegółowych, przypisano punktację. Ocena punktowa została przyznana arbitralnie na podstawie doświadczeń zespołu autorskiego, danych literaturowych oraz danych pozyskanych od dostawców technologii, w formie liczbowej z przedziału 1-5 (gdzie "1" oznacza ocenę najmniej korzystną). </w:t>
      </w:r>
    </w:p>
    <w:p>
      <w:pPr>
        <w:pStyle w:val="Normal"/>
        <w:rPr/>
      </w:pPr>
      <w:r>
        <w:rPr/>
        <w:t xml:space="preserve">Wynik waloryzacji każdego z wariantów w ramach danego kryterium głównego będzie iloczynem oceny punktowej i wagi kryteriów szczegółowych. Taka metodyka pozwala na dokonanie systematycznej oceny, odpornej na dobór kryteriów szczegółowych w ramach każdego z kryteriów głównych. Łączna ocena każdego wariantu będzie iloczynem ocen punktowych poszczególnych kryteriów i ich wag.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16</w:t>
      </w:r>
      <w:r>
        <w:fldChar w:fldCharType="end"/>
      </w:r>
      <w:r>
        <w:rPr/>
        <w:t>.</w:t>
      </w:r>
      <w:r>
        <w:rPr>
          <w:b w:val="false"/>
        </w:rPr>
        <w:t xml:space="preserve"> Kryteria główne waloryzacji wariantów technologicznych</w:t>
      </w:r>
    </w:p>
    <w:tbl>
      <w:tblPr>
        <w:tblW w:w="9355"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4677"/>
        <w:gridCol w:w="4677"/>
      </w:tblGrid>
      <w:tr>
        <w:trPr/>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rPr>
            </w:pPr>
            <w:r>
              <w:rPr>
                <w:rFonts w:cs="Arial" w:ascii="Arial" w:hAnsi="Arial"/>
                <w:b/>
                <w:color w:val="00000A"/>
                <w:sz w:val="18"/>
              </w:rPr>
              <w:t>Kryterium główne</w:t>
            </w:r>
          </w:p>
        </w:tc>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rPr>
            </w:pPr>
            <w:r>
              <w:rPr>
                <w:rFonts w:cs="Arial" w:ascii="Arial" w:hAnsi="Arial"/>
                <w:b/>
                <w:color w:val="00000A"/>
                <w:sz w:val="18"/>
              </w:rPr>
              <w:t>Waga kryterium</w:t>
            </w:r>
          </w:p>
        </w:tc>
      </w:tr>
      <w:tr>
        <w:trPr/>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Środowiskowe</w:t>
            </w:r>
          </w:p>
        </w:tc>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50%</w:t>
            </w:r>
          </w:p>
        </w:tc>
      </w:tr>
      <w:tr>
        <w:trPr/>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Technologiczne</w:t>
            </w:r>
          </w:p>
        </w:tc>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25%</w:t>
            </w:r>
          </w:p>
        </w:tc>
      </w:tr>
      <w:tr>
        <w:trPr/>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Ekonomiczne</w:t>
            </w:r>
          </w:p>
        </w:tc>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15%</w:t>
            </w:r>
          </w:p>
        </w:tc>
      </w:tr>
      <w:tr>
        <w:trPr/>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Prawne i społeczne</w:t>
            </w:r>
          </w:p>
        </w:tc>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10%</w:t>
            </w:r>
          </w:p>
        </w:tc>
      </w:tr>
      <w:tr>
        <w:trPr/>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Suma</w:t>
            </w:r>
          </w:p>
        </w:tc>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100%</w:t>
            </w:r>
          </w:p>
        </w:tc>
      </w:tr>
    </w:tbl>
    <w:p>
      <w:pPr>
        <w:pStyle w:val="Normal"/>
        <w:spacing w:lineRule="auto" w:line="360"/>
        <w:rPr/>
      </w:pPr>
      <w:r>
        <w:rPr/>
      </w:r>
    </w:p>
    <w:p>
      <w:pPr>
        <w:pStyle w:val="Normal"/>
        <w:rPr/>
      </w:pPr>
      <w:r>
        <w:rPr/>
        <w:t>Udział wagowy kryteriów szczegółowych w ramach każdego kryterium głównego przedstawia poniższa tabela.</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17</w:t>
      </w:r>
      <w:r>
        <w:fldChar w:fldCharType="end"/>
      </w:r>
      <w:r>
        <w:rPr/>
        <w:t>.</w:t>
      </w:r>
      <w:r>
        <w:rPr>
          <w:b w:val="false"/>
        </w:rPr>
        <w:t xml:space="preserve"> Udział wagowy kryteriów szczegółowych</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6804"/>
        <w:gridCol w:w="2551"/>
      </w:tblGrid>
      <w:tr>
        <w:trPr>
          <w:tblHeader w:val="true"/>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Kryterium główne / szczegółowe</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Waga kryterium szczegółowego w ramach kryterium głównego</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b/>
                <w:color w:val="00000A"/>
                <w:sz w:val="18"/>
                <w:szCs w:val="18"/>
              </w:rPr>
              <w:t>Środowiskowe</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Emisja do powietrza</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Ilość i jakość odpadów poprocesowych</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 xml:space="preserve">Produkcja ścieków </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Emisja hałasu</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15%</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Suma</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b/>
                <w:color w:val="00000A"/>
                <w:sz w:val="18"/>
                <w:szCs w:val="18"/>
              </w:rPr>
              <w:t>Technologiczne</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Referencyjność, stopień złożoności procesu oraz dostępność serwisu</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50%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Możliwość uzupełniania wsadu biomasą o różnej wilgotności</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25%</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Wrażliwość na zmianę wartości opałowej wsadu</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25%</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Suma</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b/>
                <w:color w:val="00000A"/>
                <w:sz w:val="18"/>
                <w:szCs w:val="18"/>
              </w:rPr>
              <w:t>Ekonomiczne</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 xml:space="preserve">Nakłady inwestycyjne </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 xml:space="preserve">Koszty eksploatacji </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 xml:space="preserve">Przychody </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Suma</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t>Prawne i społeczne</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color w:val="00000A"/>
                <w:sz w:val="18"/>
              </w:rPr>
              <w:t>Możliwość wystąpienia konfliktów społecznych, wynikających z realizacji inwestycji</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50%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color w:val="00000A"/>
                <w:sz w:val="18"/>
              </w:rPr>
              <w:t>Ryzyko związane z koniecznością modernizacji instalacji wskutek zmian prawa</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50%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rPr>
                <w:rFonts w:ascii="Arial" w:hAnsi="Arial" w:cs="Arial"/>
                <w:b/>
                <w:b/>
                <w:color w:val="00000A"/>
                <w:sz w:val="18"/>
                <w:szCs w:val="18"/>
              </w:rPr>
            </w:pPr>
            <w:r>
              <w:rPr>
                <w:rFonts w:cs="Arial" w:ascii="Arial" w:hAnsi="Arial"/>
                <w:color w:val="00000A"/>
                <w:sz w:val="18"/>
              </w:rPr>
              <w:t>Suma</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r>
    </w:tbl>
    <w:p>
      <w:pPr>
        <w:pStyle w:val="Normal"/>
        <w:rPr/>
      </w:pPr>
      <w:r>
        <w:rPr/>
      </w:r>
    </w:p>
    <w:p>
      <w:pPr>
        <w:pStyle w:val="Nagwek3"/>
        <w:numPr>
          <w:ilvl w:val="2"/>
          <w:numId w:val="2"/>
        </w:numPr>
        <w:ind w:hanging="851"/>
        <w:rPr/>
      </w:pPr>
      <w:bookmarkStart w:id="68" w:name="_Toc518331330"/>
      <w:bookmarkEnd w:id="68"/>
      <w:r>
        <w:rPr/>
        <w:t>Waloryzacja  wariantów</w:t>
      </w:r>
    </w:p>
    <w:p>
      <w:pPr>
        <w:pStyle w:val="Normal"/>
        <w:rPr/>
      </w:pPr>
      <w:r>
        <w:rPr/>
        <w:t xml:space="preserve">Waloryzację analizowanych wariantów technologicznych pod kątem wyboru wariantu najkorzystniejszego dla środowiska, wraz z punktacją i jej uzasadnieniem, przedstawiono w poniższych tabelach. </w:t>
      </w:r>
    </w:p>
    <w:p>
      <w:pPr>
        <w:pStyle w:val="Normal"/>
        <w:rPr/>
      </w:pPr>
      <w:r>
        <w:rPr/>
      </w:r>
    </w:p>
    <w:p>
      <w:pPr>
        <w:pStyle w:val="Normal"/>
        <w:rPr/>
      </w:pPr>
      <w:r>
        <w:rPr/>
      </w:r>
    </w:p>
    <w:p>
      <w:pPr>
        <w:pStyle w:val="Normal"/>
        <w:rPr/>
      </w:pPr>
      <w:r>
        <w:rPr/>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18</w:t>
      </w:r>
      <w:r>
        <w:fldChar w:fldCharType="end"/>
      </w:r>
      <w:r>
        <w:rPr/>
        <w:t>.</w:t>
      </w:r>
      <w:r>
        <w:rPr>
          <w:b w:val="false"/>
        </w:rPr>
        <w:t xml:space="preserve"> Waloryzacja wariantów – kryterium środowiskowe</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2115"/>
        <w:gridCol w:w="993"/>
        <w:gridCol w:w="3124"/>
        <w:gridCol w:w="3123"/>
      </w:tblGrid>
      <w:tr>
        <w:trPr>
          <w:tblHeader w:val="true"/>
        </w:trPr>
        <w:tc>
          <w:tcPr>
            <w:tcW w:w="21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Kryterium szczegółowe</w:t>
            </w:r>
          </w:p>
        </w:tc>
        <w:tc>
          <w:tcPr>
            <w:tcW w:w="9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Waga</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1</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Suchy system oczyszczania spalin</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2</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Mokry lub mieszany system oczyszczania spalin</w:t>
            </w:r>
          </w:p>
        </w:tc>
      </w:tr>
      <w:tr>
        <w:trPr/>
        <w:tc>
          <w:tcPr>
            <w:tcW w:w="21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color w:val="00000A"/>
                <w:sz w:val="18"/>
              </w:rPr>
              <w:t>Emisja do powietrza</w:t>
            </w:r>
          </w:p>
        </w:tc>
        <w:tc>
          <w:tcPr>
            <w:tcW w:w="99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Emisje na wyższym poziomie. Spełnianie standardów emisyjnych.</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Emisje na niższym poziomie. Spełnianie standardów emisyjnych</w:t>
            </w:r>
          </w:p>
        </w:tc>
      </w:tr>
      <w:tr>
        <w:trPr/>
        <w:tc>
          <w:tcPr>
            <w:tcW w:w="21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Ilość i jakość odpadów poprocesowych</w:t>
            </w:r>
          </w:p>
        </w:tc>
        <w:tc>
          <w:tcPr>
            <w:tcW w:w="99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30%</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w:t>
            </w:r>
          </w:p>
        </w:tc>
      </w:tr>
      <w:tr>
        <w:trPr/>
        <w:tc>
          <w:tcPr>
            <w:tcW w:w="21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Występują żużle, pyły i popioły kotłowe, odpady z oczyszczania spalin. Możliwość odzysku odpadów paleniskowych. Odpady niebezpieczne z oczyszczania spalin przekazywane do unieszkodliwiania. Relatywnie niewielki strumień odpadów z utrzymania instalacji.</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Występują żużle, pyły i popioły kotłowe, odpady z oczyszczania spalin. Możliwość odzysku odpadów paleniskowych. Odpady niebezpieczne z oczyszczania spalin przekazywane do unieszkodliwiania. Dodatkowe odpady z serwisowania skrubera. Nieco większa ilość odpadów z utrzymania instalacji (opakowania po chemii).</w:t>
            </w:r>
          </w:p>
        </w:tc>
      </w:tr>
      <w:tr>
        <w:trPr/>
        <w:tc>
          <w:tcPr>
            <w:tcW w:w="21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Produkcja ścieków</w:t>
            </w:r>
          </w:p>
        </w:tc>
        <w:tc>
          <w:tcPr>
            <w:tcW w:w="99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20%</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w:t>
            </w:r>
          </w:p>
        </w:tc>
      </w:tr>
      <w:tr>
        <w:trPr/>
        <w:tc>
          <w:tcPr>
            <w:tcW w:w="21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Wyłącznie ścieki bytowe oraz ścieki przemysłowe z utrzymania czystości i okresowego mycia maszyn.</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Relatywnie większa ilość ścieków – dodatkowo ścieki przemysłowe z oczyszczania spalin. Ścieki ze skrubera zawierające substancje niebezpieczne. Konieczność oczyszczania chemicznego.</w:t>
            </w:r>
          </w:p>
        </w:tc>
      </w:tr>
      <w:tr>
        <w:trPr/>
        <w:tc>
          <w:tcPr>
            <w:tcW w:w="21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Emisja hałasu</w:t>
            </w:r>
          </w:p>
        </w:tc>
        <w:tc>
          <w:tcPr>
            <w:tcW w:w="9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15%</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9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Emisja hałasu do środowiska na poziomie zgodnym z obowiązującymi przepisami prawa.</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Emisja hałasu do środowiska na poziomie zgodnym z obowiązującymi przepisami prawa.</w:t>
            </w:r>
          </w:p>
        </w:tc>
      </w:tr>
      <w:tr>
        <w:trPr/>
        <w:tc>
          <w:tcPr>
            <w:tcW w:w="21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Ocena kryterium</w:t>
            </w:r>
          </w:p>
        </w:tc>
        <w:tc>
          <w:tcPr>
            <w:tcW w:w="9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3,65</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3,30</w:t>
            </w:r>
          </w:p>
        </w:tc>
      </w:tr>
      <w:tr>
        <w:trPr/>
        <w:tc>
          <w:tcPr>
            <w:tcW w:w="310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Ranking oceny</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1</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2</w:t>
            </w:r>
          </w:p>
        </w:tc>
      </w:tr>
    </w:tbl>
    <w:p>
      <w:pPr>
        <w:pStyle w:val="Normal"/>
        <w:spacing w:lineRule="auto" w:line="360"/>
        <w:rPr/>
      </w:pPr>
      <w:r>
        <w:rPr/>
      </w:r>
    </w:p>
    <w:p>
      <w:pPr>
        <w:pStyle w:val="Normal"/>
        <w:rPr/>
      </w:pPr>
      <w:r>
        <w:rPr/>
        <w:t>Wariant zaproponowany przez Inwestora uzyskał wyższą punktację, przede wszystkim w związku z lepszym wynikiem dotyczącym emisji ścieków. Wariant alternatywny otrzymał potencjalnie lepszą ocenę w zakresie emisji gazów i pyłów do powietrza. Dane literaturowe wskazują na stosunkowo wysoką skuteczność redukcji emisji przy zastosowaniu łączonej metody oczyszczania spalin. Należy jednak zaznaczyć, że wyniki pomiarów przekazane przez dostawcę technologii do wariantu 1, wykonanych w instalacji referencyjnej, wskazują na wielkość emisji na poziomie znacznie niższej od obowiązujących standardów emisyjnych. Nowoczesne systemy dozowania sorbentów, w tym wykorzystanie do oczyszczania gazów węgla aktywnego, pozwalają na prowadzenie procesu termicznego przekształcania paliwa alternatywnego w warunkach całkowicie bezpiecznych. Dodatkowym czynnikiem, nie ujętym w przeprowadzonej waloryzacji jest eliminacja przy wyborze wariantu zaproponowanego przez Inwestora dodatkowej substancji niebezpiecznej wykorzystywanej przy wariancie 2, co stanowi realizację zaleceń w zakresie ograniczania stosowania substancji niebezpiecznych, stwarzających zagrożenie dla ludzi i środowiska.</w:t>
      </w:r>
    </w:p>
    <w:p>
      <w:pPr>
        <w:pStyle w:val="Normal"/>
        <w:rPr/>
      </w:pPr>
      <w:r>
        <w:rPr/>
      </w:r>
    </w:p>
    <w:p>
      <w:pPr>
        <w:pStyle w:val="Normal"/>
        <w:rPr/>
      </w:pPr>
      <w:r>
        <w:rPr/>
      </w:r>
    </w:p>
    <w:p>
      <w:pPr>
        <w:pStyle w:val="Normal"/>
        <w:rPr/>
      </w:pPr>
      <w:r>
        <w:rPr/>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19</w:t>
      </w:r>
      <w:r>
        <w:fldChar w:fldCharType="end"/>
      </w:r>
      <w:r>
        <w:rPr/>
        <w:t>.</w:t>
      </w:r>
      <w:r>
        <w:rPr>
          <w:b w:val="false"/>
        </w:rPr>
        <w:t xml:space="preserve"> Waloryzacja wariantów – kryterium technologiczne</w:t>
      </w:r>
    </w:p>
    <w:tbl>
      <w:tblPr>
        <w:tblW w:w="9357"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2116"/>
        <w:gridCol w:w="994"/>
        <w:gridCol w:w="3123"/>
        <w:gridCol w:w="3123"/>
      </w:tblGrid>
      <w:tr>
        <w:trPr>
          <w:tblHeader w:val="true"/>
        </w:trPr>
        <w:tc>
          <w:tcPr>
            <w:tcW w:w="2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Kryterium szczegółowe</w:t>
            </w:r>
          </w:p>
        </w:tc>
        <w:tc>
          <w:tcPr>
            <w:tcW w:w="9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Waga</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1</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Suchy system oczyszczania spalin</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2</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Mokry lub mieszany system oczyszczania spalin</w:t>
            </w:r>
          </w:p>
        </w:tc>
      </w:tr>
      <w:tr>
        <w:trPr/>
        <w:tc>
          <w:tcPr>
            <w:tcW w:w="211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Referencyjność, stopień złożoności procesu oraz dostępność serwisu</w:t>
            </w:r>
          </w:p>
        </w:tc>
        <w:tc>
          <w:tcPr>
            <w:tcW w:w="99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50%</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Powszechność technologii, dobre rozpoznanie procesu technologicznego, relatywnie niewielki stopień złożoności procesu. Dobra dostępność serwisu.</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Dużo większe rozpowszechnienie technologii, bardzo dobre rozpoznanie procesu technologicznego, nieco większa złożoność procesu. Bardzo dobra dostępność serwisu.</w:t>
            </w:r>
          </w:p>
        </w:tc>
      </w:tr>
      <w:tr>
        <w:trPr/>
        <w:tc>
          <w:tcPr>
            <w:tcW w:w="211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Możliwość uzupełniania wsadu biomasą o różnej wilgotności</w:t>
            </w:r>
          </w:p>
        </w:tc>
        <w:tc>
          <w:tcPr>
            <w:tcW w:w="99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25%</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Proces wykazujący relatywnie wysoką tolerancję wsadu i szeroki zakres akceptowalności jego parametrów (powszechnie stosowany do termicznego przekształcania zmieszanych odpadów komunalnych, o dużo większej zmienności parametrów).</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Proces wykazujący relatywnie wysoką tolerancję wsadu i szeroki zakres akceptowalności jego parametrów (powszechnie stosowany do termicznego przekształcania zmieszanych odpadów komunalnych, o dużo większej zmienności parametrów).</w:t>
            </w:r>
          </w:p>
        </w:tc>
      </w:tr>
      <w:tr>
        <w:trPr/>
        <w:tc>
          <w:tcPr>
            <w:tcW w:w="211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rPr>
            </w:pPr>
            <w:r>
              <w:rPr>
                <w:rFonts w:cs="Arial" w:ascii="Arial" w:hAnsi="Arial"/>
                <w:color w:val="00000A"/>
                <w:sz w:val="18"/>
              </w:rPr>
              <w:t>Wrażliwość na zmianę wartości opałowej wsadu</w:t>
            </w:r>
          </w:p>
        </w:tc>
        <w:tc>
          <w:tcPr>
            <w:tcW w:w="99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25%</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Proces stosowany m.in. do zmieszanych odpadów komunalnych, stąd niska wrażliwość na zmianę wartości opałowej wsadu.</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Proces stosowany m.in. do zmieszanych odpadów komunalnych, stąd niska wrażliwość na zmianę wartości opałowej wsadu.</w:t>
            </w:r>
          </w:p>
        </w:tc>
      </w:tr>
      <w:tr>
        <w:trPr/>
        <w:tc>
          <w:tcPr>
            <w:tcW w:w="2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Ocena kryterium</w:t>
            </w:r>
          </w:p>
        </w:tc>
        <w:tc>
          <w:tcPr>
            <w:tcW w:w="9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3,50</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4,00</w:t>
            </w:r>
          </w:p>
        </w:tc>
      </w:tr>
      <w:tr>
        <w:trPr/>
        <w:tc>
          <w:tcPr>
            <w:tcW w:w="311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Ranking oceny</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2</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1</w:t>
            </w:r>
          </w:p>
        </w:tc>
      </w:tr>
    </w:tbl>
    <w:p>
      <w:pPr>
        <w:pStyle w:val="Normal"/>
        <w:spacing w:lineRule="auto" w:line="360"/>
        <w:rPr/>
      </w:pPr>
      <w:r>
        <w:rPr/>
      </w:r>
    </w:p>
    <w:p>
      <w:pPr>
        <w:pStyle w:val="Normal"/>
        <w:rPr/>
      </w:pPr>
      <w:r>
        <w:rPr/>
        <w:t xml:space="preserve">W przypadku kryterium technologicznego nieco wyższą ocenę uzyskał wariant z mokrym i mieszanym systemem oczyszczania spalin ze względu na większą referencyjność, rozpoznanie procesu i dostęp do serwisu.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20</w:t>
      </w:r>
      <w:r>
        <w:fldChar w:fldCharType="end"/>
      </w:r>
      <w:r>
        <w:rPr/>
        <w:t>.</w:t>
      </w:r>
      <w:r>
        <w:rPr>
          <w:b w:val="false"/>
        </w:rPr>
        <w:t xml:space="preserve"> Waloryzacja wariantów – kryterium ekonomiczne</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2115"/>
        <w:gridCol w:w="993"/>
        <w:gridCol w:w="3124"/>
        <w:gridCol w:w="3123"/>
      </w:tblGrid>
      <w:tr>
        <w:trPr>
          <w:tblHeader w:val="true"/>
        </w:trPr>
        <w:tc>
          <w:tcPr>
            <w:tcW w:w="21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Kryterium szczegółowe</w:t>
            </w:r>
          </w:p>
        </w:tc>
        <w:tc>
          <w:tcPr>
            <w:tcW w:w="9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Waga</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1</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Suchy system oczyszczania spalin</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2</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Mokry lub mieszany system oczyszczania spalin</w:t>
            </w:r>
          </w:p>
        </w:tc>
      </w:tr>
      <w:tr>
        <w:trPr/>
        <w:tc>
          <w:tcPr>
            <w:tcW w:w="21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Nakłady inwestycyjne</w:t>
            </w:r>
          </w:p>
        </w:tc>
        <w:tc>
          <w:tcPr>
            <w:tcW w:w="99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w:t>
            </w:r>
          </w:p>
        </w:tc>
      </w:tr>
      <w:tr>
        <w:trPr/>
        <w:tc>
          <w:tcPr>
            <w:tcW w:w="21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Zgodnie z informacjami zawartymi w Dokumentem Referencyjnym dla najlepszych dostępnych technik dla spalania odpadów, koszty inwestycyjne technologii suchej są o około 10% niższe.</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Zgodnie z informacjami zawartymi w Dokumentem Referencyjnym dla najlepszych dostępnych technik dla spalania odpadów, koszty inwestycyjne technologii mieszanej są o około 10% wyższe.</w:t>
            </w:r>
          </w:p>
        </w:tc>
      </w:tr>
      <w:tr>
        <w:trPr/>
        <w:tc>
          <w:tcPr>
            <w:tcW w:w="21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Koszty eksploatacji</w:t>
            </w:r>
          </w:p>
        </w:tc>
        <w:tc>
          <w:tcPr>
            <w:tcW w:w="99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w:t>
            </w:r>
          </w:p>
        </w:tc>
      </w:tr>
      <w:tr>
        <w:trPr/>
        <w:tc>
          <w:tcPr>
            <w:tcW w:w="21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Relatywnie niższe niż dla mokrego lub mieszanego oczyszczania spalin – mniejsze zużycie wody, brak uciążliwych ścieków do oczyszczenia. Niższe zużycie chemikaliów i energii elektrycznej.</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Wyższe koszty ze względu na kosztowne oczyszczanie ścieków uciążliwych przemysłowych. Wyższe zapotrzebowanie na surowce i materiały eksploatacyjne (chemia).</w:t>
            </w:r>
          </w:p>
        </w:tc>
      </w:tr>
      <w:tr>
        <w:trPr/>
        <w:tc>
          <w:tcPr>
            <w:tcW w:w="21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rPr>
            </w:pPr>
            <w:r>
              <w:rPr>
                <w:rFonts w:cs="Arial" w:ascii="Arial" w:hAnsi="Arial"/>
                <w:color w:val="00000A"/>
                <w:sz w:val="18"/>
              </w:rPr>
              <w:t>Przychody</w:t>
            </w:r>
          </w:p>
        </w:tc>
        <w:tc>
          <w:tcPr>
            <w:tcW w:w="99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30%</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Na porównywalnym poziomie do instalacji z mokrym lub mieszanym systemem oczyszczania spalin.</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Na porównywalnym poziomie do instalacji z suchym systemem oczyszczania spalin.</w:t>
            </w:r>
          </w:p>
        </w:tc>
      </w:tr>
      <w:tr>
        <w:trPr/>
        <w:tc>
          <w:tcPr>
            <w:tcW w:w="21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Ocena kryterium</w:t>
            </w:r>
          </w:p>
        </w:tc>
        <w:tc>
          <w:tcPr>
            <w:tcW w:w="9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4,00</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3,30</w:t>
            </w:r>
          </w:p>
        </w:tc>
      </w:tr>
      <w:tr>
        <w:trPr/>
        <w:tc>
          <w:tcPr>
            <w:tcW w:w="310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Ranking oceny</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1</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2</w:t>
            </w:r>
          </w:p>
        </w:tc>
      </w:tr>
    </w:tbl>
    <w:p>
      <w:pPr>
        <w:pStyle w:val="Normal"/>
        <w:spacing w:lineRule="auto" w:line="360"/>
        <w:rPr/>
      </w:pPr>
      <w:r>
        <w:rPr/>
      </w:r>
    </w:p>
    <w:p>
      <w:pPr>
        <w:pStyle w:val="Normal"/>
        <w:rPr/>
      </w:pPr>
      <w:r>
        <w:rPr/>
        <w:t xml:space="preserve">W kryterium ekonomicznym wariant proponowany przez Inwestora uzyskał wyższą ocenę ze względu na niższe koszty inwestycyjne i eksploatacyjne. W przypadku analizowanego przedsięwzięcia, które ma lokalny charakter i ma służyć zagospodarowaniu ograniczonego strumienia odpadów palnych, aspekt ekonomiczny jest szczególnie istotny.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21</w:t>
      </w:r>
      <w:r>
        <w:fldChar w:fldCharType="end"/>
      </w:r>
      <w:r>
        <w:rPr/>
        <w:t>.</w:t>
      </w:r>
      <w:r>
        <w:rPr>
          <w:b w:val="false"/>
        </w:rPr>
        <w:t xml:space="preserve"> Waloryzacja wariantów – kryterium prawne i społeczne</w:t>
      </w:r>
    </w:p>
    <w:tbl>
      <w:tblPr>
        <w:tblW w:w="9355"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2116"/>
        <w:gridCol w:w="1089"/>
        <w:gridCol w:w="1"/>
        <w:gridCol w:w="3074"/>
        <w:gridCol w:w="3074"/>
      </w:tblGrid>
      <w:tr>
        <w:trPr/>
        <w:tc>
          <w:tcPr>
            <w:tcW w:w="2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Kryterium szczegółowe</w:t>
            </w:r>
          </w:p>
        </w:tc>
        <w:tc>
          <w:tcPr>
            <w:tcW w:w="109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Waga</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1</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Suchy system oczyszczania spalin</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2</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Mokry lub mieszany system oczyszczania spalin</w:t>
            </w:r>
          </w:p>
        </w:tc>
      </w:tr>
      <w:tr>
        <w:trPr/>
        <w:tc>
          <w:tcPr>
            <w:tcW w:w="211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Możliwość wystąpienia konfliktów społecznych, wynikających z realizacji inwestycji</w:t>
            </w:r>
          </w:p>
        </w:tc>
        <w:tc>
          <w:tcPr>
            <w:tcW w:w="1090" w:type="dxa"/>
            <w:gridSpan w:val="2"/>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50%</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1090" w:type="dxa"/>
            <w:gridSpan w:val="2"/>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 xml:space="preserve">Realizacja przedsięwzięcia narażona na wystąpienie konfliktów społecznych ze względu na niechęć społeczeństwa do obiektów termicznego przekształcania odpadów w znacznym stopniu.  </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 xml:space="preserve">Realizacja przedsięwzięcia narażona na wystąpienie konfliktów społecznych ze względu na niechęć społeczeństwa do obiektów termicznego przekształcania odpadów w trochę niższym stopniu, ze względu na potencjalnie nieco niżą emisję do powietrza.  </w:t>
            </w:r>
          </w:p>
        </w:tc>
      </w:tr>
      <w:tr>
        <w:trPr/>
        <w:tc>
          <w:tcPr>
            <w:tcW w:w="211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Ryzyko związane z koniecznością modernizacji instalacji wskutek zmian prawa</w:t>
            </w:r>
          </w:p>
        </w:tc>
        <w:tc>
          <w:tcPr>
            <w:tcW w:w="1090" w:type="dxa"/>
            <w:gridSpan w:val="2"/>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50%</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1090" w:type="dxa"/>
            <w:gridSpan w:val="2"/>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 xml:space="preserve">Ryzyko związane z brakiem możliwości wykorzystania w  przyszłości w budownictwie żużli po procesie waloryzacji. </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Ryzyko związane z brakiem możliwości wykorzystania w  przyszłości w budownictwie żużli po procesie waloryzacji.</w:t>
            </w:r>
          </w:p>
        </w:tc>
      </w:tr>
      <w:tr>
        <w:trPr/>
        <w:tc>
          <w:tcPr>
            <w:tcW w:w="2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Ocena kryterium</w:t>
            </w:r>
          </w:p>
        </w:tc>
        <w:tc>
          <w:tcPr>
            <w:tcW w:w="109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3,50</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4,00</w:t>
            </w:r>
          </w:p>
        </w:tc>
      </w:tr>
      <w:tr>
        <w:trPr/>
        <w:tc>
          <w:tcPr>
            <w:tcW w:w="320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Ranking oceny</w:t>
            </w:r>
          </w:p>
        </w:tc>
        <w:tc>
          <w:tcPr>
            <w:tcW w:w="307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2</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1</w:t>
            </w:r>
          </w:p>
        </w:tc>
      </w:tr>
    </w:tbl>
    <w:p>
      <w:pPr>
        <w:pStyle w:val="Normal"/>
        <w:spacing w:lineRule="auto" w:line="360"/>
        <w:rPr/>
      </w:pPr>
      <w:r>
        <w:rPr>
          <w:rFonts w:cs="Arial" w:ascii="Arial" w:hAnsi="Arial"/>
          <w:b/>
          <w:color w:val="00000A"/>
          <w:szCs w:val="22"/>
        </w:rPr>
        <w:t xml:space="preserve"> </w:t>
      </w:r>
    </w:p>
    <w:p>
      <w:pPr>
        <w:pStyle w:val="Normal"/>
        <w:rPr/>
      </w:pPr>
      <w:r>
        <w:rPr/>
        <w:t xml:space="preserve">Wariant z mokrym lub mieszanym systemem oczyszczania spalin, jako mogący wywoływać mniejszą niechęć mieszkańców ze względu na potencjalnie nieco niższą wielkość emisji, został oceniony trochę lepiej niż technologia z systemem suchym. </w:t>
      </w:r>
    </w:p>
    <w:p>
      <w:pPr>
        <w:pStyle w:val="Normal"/>
        <w:rPr/>
      </w:pPr>
      <w:r>
        <w:rPr/>
        <w:t xml:space="preserve">Zestawienie wyników waloryzacji wraz z oceną kryteriów głównych przedstawia poniższa tabela.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22</w:t>
      </w:r>
      <w:r>
        <w:fldChar w:fldCharType="end"/>
      </w:r>
      <w:r>
        <w:rPr/>
        <w:t>.</w:t>
      </w:r>
      <w:r>
        <w:rPr>
          <w:b w:val="false"/>
        </w:rPr>
        <w:t xml:space="preserve"> Zestawienie wyników waloryzacji poszczególnych wariantów</w:t>
      </w:r>
    </w:p>
    <w:tbl>
      <w:tblPr>
        <w:tblW w:w="9355"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2694"/>
        <w:gridCol w:w="1134"/>
        <w:gridCol w:w="2763"/>
        <w:gridCol w:w="2763"/>
      </w:tblGrid>
      <w:tr>
        <w:trPr/>
        <w:tc>
          <w:tcPr>
            <w:tcW w:w="26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Kryterium szczegółowe</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Waga</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1</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Suchy system oczyszczania spalin</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2</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Mokry lub mieszany system oczyszczania spalin</w:t>
            </w:r>
          </w:p>
        </w:tc>
      </w:tr>
      <w:tr>
        <w:trPr/>
        <w:tc>
          <w:tcPr>
            <w:tcW w:w="26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Kryterium środowiskowe</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50%</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3,65</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3,30</w:t>
            </w:r>
          </w:p>
        </w:tc>
      </w:tr>
      <w:tr>
        <w:trPr/>
        <w:tc>
          <w:tcPr>
            <w:tcW w:w="26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Kryterium technologiczne</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25%</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3,50</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4,00</w:t>
            </w:r>
          </w:p>
        </w:tc>
      </w:tr>
      <w:tr>
        <w:trPr/>
        <w:tc>
          <w:tcPr>
            <w:tcW w:w="26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Kryterium ekonomiczne</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15%</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4,00</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3,30</w:t>
            </w:r>
          </w:p>
        </w:tc>
      </w:tr>
      <w:tr>
        <w:trPr/>
        <w:tc>
          <w:tcPr>
            <w:tcW w:w="26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Kryterium prawne i społeczne</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10%</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3,50</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4,00</w:t>
            </w:r>
          </w:p>
        </w:tc>
      </w:tr>
      <w:tr>
        <w:trPr/>
        <w:tc>
          <w:tcPr>
            <w:tcW w:w="26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Łączna ocena</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100%</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3,65</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3,54</w:t>
            </w:r>
          </w:p>
        </w:tc>
      </w:tr>
      <w:tr>
        <w:trPr/>
        <w:tc>
          <w:tcPr>
            <w:tcW w:w="382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Ranking oceny</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C5E0B3"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1</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3B6B1"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2</w:t>
            </w:r>
          </w:p>
        </w:tc>
      </w:tr>
    </w:tbl>
    <w:p>
      <w:pPr>
        <w:pStyle w:val="Normal"/>
        <w:spacing w:lineRule="auto" w:line="360"/>
        <w:rPr/>
      </w:pPr>
      <w:r>
        <w:rPr/>
      </w:r>
    </w:p>
    <w:p>
      <w:pPr>
        <w:pStyle w:val="Normal"/>
        <w:rPr/>
      </w:pPr>
      <w:r>
        <w:rPr/>
        <w:t>Biorąc pod uwagę wyniki przeprowadzonej oceny waloryzacyjnej zaproponowanych wariantów, wyższą ocenę łączną uzyskał wariant proponowany przez Inwestora, czyli budowa instalacji termicznego przekształcania odpadów z wykorzystaniem suchego systemu oczyszczania gazów spalinowych. Wariant ten wprawdzie nie uzyskał wyższej oceny we wszystkich kryteriach, jednak w najważniejszym i najwyżej ocenionym kryterium środowiskowym oceniono go nieco wyżej. Nie bagatelne znaczenie ma także znacznie lepszy wynik w przypadku kryterium ekonomicznego, ponieważ inwestycja ma charakter lokalny i ma za zadanie uzupełnienie regionalnego systemu gospodarki odpadami, co wiąże się ze znacznie ostrzejszym reżimem budżetowym przedsięwzięcia.</w:t>
      </w:r>
    </w:p>
    <w:p>
      <w:pPr>
        <w:pStyle w:val="Normal"/>
        <w:rPr/>
      </w:pPr>
      <w:r>
        <w:rPr/>
        <w:t xml:space="preserve">Ze względu na powyższe wyniki oceny waloryzacyjnej sugeruje się wybór wariantu z zastosowaniem suchej technologii oczyszczania spalin (w oparciu o wodorotlenek lub węglan wapniowy lub kwaśny siarczyn sodowy), z wcześniejszym schłodzeniem i nawilżeniem spalin wodą (przy okazji następuje absorpcja HCl i HF). System oczyszczania spalin zostanie wyposażony dodatkowo w dozowanie węgla aktywnego w celu eliminacji polichlorowanych dioksyn i furanów. Adsorpcja oparta o węgiel aktywny pozwoli również na ograniczenie emisji innych związków organicznych oraz metali ciężkich. Zastosowanie suchych układów usuwania gazów kwaśnych stało się ostatnio coraz częstsze, szczególnie w połączeniu z odpylaniem na filtrach tkaninowych, gdzie warstwa ciała stałego (pył z sorbentem) osadzonego na tkaninie filtracyjnej pracuje bardzo skutecznie. W takim układzie udaje się osiągnąć stopnie skuteczności usuwania zanieczyszczeń ponad 99%, przy jednocześnie niższych kosztach inwestycyjnych i eksploatacyjnych. </w:t>
      </w:r>
    </w:p>
    <w:p>
      <w:pPr>
        <w:pStyle w:val="Normal"/>
        <w:spacing w:lineRule="auto" w:line="360"/>
        <w:rPr/>
      </w:pPr>
      <w:r>
        <w:rPr/>
      </w:r>
    </w:p>
    <w:p>
      <w:pPr>
        <w:pStyle w:val="Nagwek1"/>
        <w:numPr>
          <w:ilvl w:val="0"/>
          <w:numId w:val="2"/>
        </w:numPr>
        <w:rPr/>
      </w:pPr>
      <w:bookmarkStart w:id="69" w:name="_Toc518331331"/>
      <w:bookmarkEnd w:id="69"/>
      <w:r>
        <w:rPr/>
        <w:t>UZASADNIENIE PROPONOWANEGO PRZEZ WNIOSKODAWCĘ WARIANTU, ZE WSKAZANIEM JEGO ODDZIAŁYWANIA NA ŚRODOWISKO</w:t>
      </w:r>
    </w:p>
    <w:p>
      <w:pPr>
        <w:pStyle w:val="Nagwek2"/>
        <w:numPr>
          <w:ilvl w:val="1"/>
          <w:numId w:val="2"/>
        </w:numPr>
        <w:ind w:hanging="578"/>
        <w:rPr/>
      </w:pPr>
      <w:bookmarkStart w:id="70" w:name="_Toc518331332"/>
      <w:bookmarkEnd w:id="70"/>
      <w:r>
        <w:rPr/>
        <w:t>Oddziaływanie na etapie realizacji</w:t>
      </w:r>
    </w:p>
    <w:p>
      <w:pPr>
        <w:pStyle w:val="Nagwek3"/>
        <w:numPr>
          <w:ilvl w:val="2"/>
          <w:numId w:val="2"/>
        </w:numPr>
        <w:ind w:hanging="851"/>
        <w:rPr/>
      </w:pPr>
      <w:bookmarkStart w:id="71" w:name="_Toc518331333"/>
      <w:bookmarkEnd w:id="71"/>
      <w:r>
        <w:rPr/>
        <w:t>Oddziaływanie na ludzi</w:t>
      </w:r>
    </w:p>
    <w:p>
      <w:pPr>
        <w:pStyle w:val="Normal"/>
        <w:rPr/>
      </w:pPr>
      <w:r>
        <w:rPr/>
        <w:t xml:space="preserve">Uciążliwości dla ludzi na etapie realizacji przedsięwzięcia związane będą z emisją do powietrza spalin ze środków transportu, pyleniem z dróg oraz emisją hałasu powstałych w trakcie prac budowlanych. Oddziaływanie to będzie ograniczone do placu budowy oraz krótkotrwałe, ograniczone do etapu budowy zakładu. </w:t>
      </w:r>
    </w:p>
    <w:p>
      <w:pPr>
        <w:pStyle w:val="Normal"/>
        <w:rPr/>
      </w:pPr>
      <w:r>
        <w:rPr/>
        <w:t>Mając na uwadze niewielką skalę przedsięwzięcia oraz fakt, że będzie ono realizowane na terenie zagospodarowanym, w pewnej odległości od skupisk ludzkich, należy uznać, że oddziaływanie na ludzi będzie znikome. Powstające uciążliwości będą eliminowane dzięki stosowaniu opisywanych już odpowiednich zasad organizacji terenu budowy i pracy.</w:t>
      </w:r>
    </w:p>
    <w:p>
      <w:pPr>
        <w:pStyle w:val="Normal"/>
        <w:rPr/>
      </w:pPr>
      <w:r>
        <w:rPr/>
      </w:r>
    </w:p>
    <w:p>
      <w:pPr>
        <w:pStyle w:val="Nagwek3"/>
        <w:numPr>
          <w:ilvl w:val="2"/>
          <w:numId w:val="2"/>
        </w:numPr>
        <w:ind w:hanging="851"/>
        <w:rPr/>
      </w:pPr>
      <w:r>
        <w:rPr/>
        <w:t xml:space="preserve"> </w:t>
      </w:r>
      <w:bookmarkStart w:id="72" w:name="_Toc518331334"/>
      <w:bookmarkEnd w:id="72"/>
      <w:r>
        <w:rPr/>
        <w:t>Oddziaływanie na rośliny, zwierzęta, grzyby i siedliska przyrodnicze</w:t>
      </w:r>
    </w:p>
    <w:p>
      <w:pPr>
        <w:pStyle w:val="Normal"/>
        <w:rPr/>
      </w:pPr>
      <w:r>
        <w:rPr/>
        <w:t xml:space="preserve">Oddziaływanie na szatę roślinną i zwierzęta na etapie realizacji będzie związane z zajęciem terenu pod obiekty budowlane wchodzące w skład przedsięwzięcia. Prace budowlane będą oddziaływać na środowisko lokalnie głównie na roślinność i glebę. Oddziaływanie to będzie miało charakter lokalny. W związku z tym, że inwestor zamierza jedynie częściowo zmienić obecny bilans powierzchni tego terenu, oddziaływanie będzie </w:t>
      </w:r>
      <w:r>
        <w:rPr>
          <w:i/>
        </w:rPr>
        <w:t>de facto</w:t>
      </w:r>
      <w:r>
        <w:rPr/>
        <w:t xml:space="preserve"> dotyczyć bardzo małego fragmentu analizowanego terenu.</w:t>
      </w:r>
    </w:p>
    <w:p>
      <w:pPr>
        <w:pStyle w:val="Tretekstu"/>
        <w:jc w:val="both"/>
        <w:rPr>
          <w:bCs/>
        </w:rPr>
      </w:pPr>
      <w:r>
        <w:rPr>
          <w:bCs/>
        </w:rPr>
        <w:t>W związku z budową zakładu planowana jest wycinka zasadzonych pojedynczych drzew, głównie świerków, występujących w sąsiedztwie istniejącej zabudowy i kolidujących z budową nowych obiektów oraz wycinka w ramach urządzenia zieleni, samosiejek krzewów i drzew, występujących na terenie obecnie istniejących trawników.</w:t>
      </w:r>
    </w:p>
    <w:p>
      <w:pPr>
        <w:pStyle w:val="Tretekstu"/>
        <w:jc w:val="both"/>
        <w:rPr>
          <w:bCs/>
        </w:rPr>
      </w:pPr>
      <w:r>
        <w:rPr>
          <w:bCs/>
        </w:rPr>
        <w:t xml:space="preserve">Przekształcenia szaty roślinnej będą dotyczyć niewielkiej powierzchni terenu inwestycji,  porośniętej zbiorowiskiem ruderalnym, ukształtowanym przez dotychczasowy sposób użytkowania terenu, o niskiej wartości ekologicznej. Ze względu na charakter roślinności oraz fakt, że inwestycja spowoduje zagospodarowanie zieleni, w tym np. zasadzenie krzewów, należy uznać, że oddziaływanie na ten komponent należy uznać za akceptowalny. </w:t>
      </w:r>
    </w:p>
    <w:p>
      <w:pPr>
        <w:pStyle w:val="Normal"/>
        <w:rPr>
          <w:bCs/>
        </w:rPr>
      </w:pPr>
      <w:r>
        <w:rPr>
          <w:bCs/>
        </w:rPr>
        <w:t>Oddziaływanie przedsięwzięcia na system glebowy wraz z pedofauną ograniczony jest do granicy inwestycji. Niewątpliwie oddziaływanie na ten komponent krajobrazu będzie największe. Usunięcie części gleby podczas prac budowlanych oraz przykrycie jej powierzchni zabudową spowoduje zahamowanie procesów glebotwórczych i degradację gleby w tym bytującej w niej pedofauny. W przypadku omawianego terenu mamy do czynienia z występowaniem kompleksu gleb terenów zabudowanych, silnie przekształconych antropogenicznie w kierunku gleb industrioziemnych. Gleby te nie posiadają żadnych walorów użytkowych, a ponadto cechują się znikomym występowaniem typowej fauny glebowej. Należy także zaznaczyć, że przekształcenie gleb będzie dotyczyć niewielkiego fragmentu terenu o powierzchni równiej powierzchni nowej zabudowy i placu manewrowego. Ponadto, pomimo tego, że tego rodzaju przekształcenia mają charakter trwały jednak po zaprzestaniu działalności są odwracalne (odsłonięcie powierzchni ziemi zawsze będzie prowadzić do uruchomienia się procesów glebotwórczych).</w:t>
      </w:r>
    </w:p>
    <w:p>
      <w:pPr>
        <w:pStyle w:val="Normal"/>
        <w:rPr/>
      </w:pPr>
      <w:r>
        <w:rPr/>
        <w:t xml:space="preserve">Teren przedsięwzięcia znajduje się w obrębie terenu przemysłowego, dlatego też nie stanowi ostoi bądź miejsca żerowania zwierząt, w tym ptaków. Prowadzone prace budowlane nie będą powodowały negatywnego oddziaływania na jakiekolwiek zwierzęta, za wyjątkiem wspomnianego wpływu na faunę glebową. </w:t>
      </w:r>
    </w:p>
    <w:p>
      <w:pPr>
        <w:pStyle w:val="Normal"/>
        <w:rPr/>
      </w:pPr>
      <w:r>
        <w:rPr/>
      </w:r>
    </w:p>
    <w:p>
      <w:pPr>
        <w:pStyle w:val="Nagwek3"/>
        <w:numPr>
          <w:ilvl w:val="2"/>
          <w:numId w:val="2"/>
        </w:numPr>
        <w:ind w:hanging="851"/>
        <w:rPr/>
      </w:pPr>
      <w:r>
        <w:rPr/>
        <w:t xml:space="preserve"> </w:t>
      </w:r>
      <w:bookmarkStart w:id="73" w:name="_Toc518331335"/>
      <w:bookmarkEnd w:id="73"/>
      <w:r>
        <w:rPr/>
        <w:t>Oddziaływanie na tereny chronione</w:t>
      </w:r>
    </w:p>
    <w:p>
      <w:pPr>
        <w:pStyle w:val="Normal"/>
        <w:rPr/>
      </w:pPr>
      <w:r>
        <w:rPr/>
        <w:t xml:space="preserve">Jak już wspomniano, przedmiotowa inwestycja nie będzie zlokalizowana  w obrębie terenów chronionych. Najbliższy obszar chroniony – SOO Natura 2000 Beskid Żywiecki PLH240006 </w:t>
        <w:br/>
        <w:t>– zlokalizowany jest w odległości około 1,23 km od przedsięwzięcia. Uwzględniając niewielką, lokalną skalę prac budowlanych i wiążących się z nimi uciążliwości i oddziaływań, należy stwierdzić, że realizacja przedsięwzięcia nie będzie miała negatywnego wpływu na powyższy teren chroniony. Odległość pozostałych obszarów chronionych wyklucza jakikolwiek wpływ na nie.</w:t>
      </w:r>
    </w:p>
    <w:p>
      <w:pPr>
        <w:pStyle w:val="Normal"/>
        <w:rPr/>
      </w:pPr>
      <w:r>
        <w:rPr/>
      </w:r>
    </w:p>
    <w:p>
      <w:pPr>
        <w:pStyle w:val="Nagwek3"/>
        <w:numPr>
          <w:ilvl w:val="2"/>
          <w:numId w:val="2"/>
        </w:numPr>
        <w:ind w:hanging="851"/>
        <w:rPr/>
      </w:pPr>
      <w:r>
        <w:rPr/>
        <w:t xml:space="preserve"> </w:t>
      </w:r>
      <w:bookmarkStart w:id="74" w:name="_Toc518331336"/>
      <w:bookmarkEnd w:id="74"/>
      <w:r>
        <w:rPr/>
        <w:t>Oddziaływanie na wody powierzchniowe i podziemne</w:t>
      </w:r>
    </w:p>
    <w:p>
      <w:pPr>
        <w:pStyle w:val="Normal"/>
        <w:rPr/>
      </w:pPr>
      <w:r>
        <w:rPr/>
        <w:t xml:space="preserve">Realizacja przedsięwzięcia będzie się odbywała w znacznej odległości od występujących </w:t>
        <w:br/>
        <w:t xml:space="preserve">w rejonie wód powierzchniowych. Zakres i charakter zaplanowanych prac budowlanych  </w:t>
        <w:br/>
        <w:t xml:space="preserve">w żadnym stopniu nie będzie wpływał na wody i ich stan ekologiczny i chemiczny. </w:t>
      </w:r>
    </w:p>
    <w:p>
      <w:pPr>
        <w:pStyle w:val="Normal"/>
        <w:rPr/>
      </w:pPr>
      <w:r>
        <w:rPr/>
        <w:t xml:space="preserve">Możliwość potencjalnego zanieczyszczenia gruntu, prowadzącego w dalszej konsekwencji do zanieczyszczenia wód gruntowych zostanie wyeliminowana i zredukowana do praktycznie niemożliwej.  Prace budowlane prowadzone będą na terenie zagospodarowanym z utwardzonym systemem istniejących nawierzchni. Oznacza to, że większość prac które mogłyby prowadzić do ewentualnego zanieczyszczenia, a więc ruch i parkowanie pojazdów budowy, będzie się odbywało na terenie zabezpieczonym przed przedostaniem się zanieczyszczeń do gruntu i wód gruntowych. Powstanie zanieczyszczenia gruntu w związku z prowadzeniem prac ziemnych pod fundamenty budynku właściwie należy wykluczyć – prace będą prowadzone przy użyciu nowoczesnego sprzętu, spełniającego wszystkie wymagane standardy, co eliminuje możliwość wystąpienia wycisków. Ponadto prace ziemne będą krótkotrwałe i będą się odbywały na małej powierzchni planowanego budynku. </w:t>
      </w:r>
    </w:p>
    <w:p>
      <w:pPr>
        <w:pStyle w:val="Normal"/>
        <w:rPr/>
      </w:pPr>
      <w:r>
        <w:rPr/>
      </w:r>
    </w:p>
    <w:p>
      <w:pPr>
        <w:pStyle w:val="Nagwek3"/>
        <w:numPr>
          <w:ilvl w:val="2"/>
          <w:numId w:val="2"/>
        </w:numPr>
        <w:ind w:hanging="851"/>
        <w:rPr/>
      </w:pPr>
      <w:bookmarkStart w:id="75" w:name="_Toc518331337"/>
      <w:bookmarkEnd w:id="75"/>
      <w:r>
        <w:rPr/>
        <w:t>Oddziaływanie na powietrze atmosferyczne</w:t>
      </w:r>
    </w:p>
    <w:p>
      <w:pPr>
        <w:pStyle w:val="Normal"/>
        <w:rPr/>
      </w:pPr>
      <w:r>
        <w:rPr/>
        <w:t xml:space="preserve">Podczas budowy występować będzie okresowe oddziaływanie na środowisko w postaci pracy sprzętu ciężkiego. Może to powodować czasowe zanieczyszczenie atmosfery spalinami powstającymi podczas pracy ww. sprzętu. Stopień oddziaływania na środowisko będzie w tym przypadku ograniczony do terenu inwestycji, a jego wpływ na środowisko i otaczający teren będzie niewielki. </w:t>
      </w:r>
    </w:p>
    <w:p>
      <w:pPr>
        <w:pStyle w:val="Normal"/>
        <w:rPr/>
      </w:pPr>
      <w:r>
        <w:rPr/>
        <w:t>Emisja zanieczyszczeń wprowadzanych do powietrza będzie związana z pracą samochodu ciężarowego, spycharki i koparko-ładowarki. Do obliczenia emisji rocznej wykorzystano następujące wskaźniki emisji:</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23</w:t>
      </w:r>
      <w:r>
        <w:fldChar w:fldCharType="end"/>
      </w:r>
      <w:r>
        <w:rPr/>
        <w:t>.</w:t>
      </w:r>
      <w:r>
        <w:rPr>
          <w:b w:val="false"/>
          <w:szCs w:val="22"/>
        </w:rPr>
        <w:t xml:space="preserve"> W</w:t>
      </w:r>
      <w:r>
        <w:rPr>
          <w:b w:val="false"/>
        </w:rPr>
        <w:t>skaźniki emisji dla transportu wykorzystane w obliczeniach</w:t>
      </w:r>
    </w:p>
    <w:tbl>
      <w:tblPr>
        <w:tblW w:w="9356" w:type="dxa"/>
        <w:jc w:val="left"/>
        <w:tblInd w:w="28" w:type="dxa"/>
        <w:tblBorders>
          <w:top w:val="single" w:sz="2" w:space="0" w:color="000001"/>
          <w:left w:val="single" w:sz="2" w:space="0" w:color="000001"/>
          <w:bottom w:val="single" w:sz="2" w:space="0" w:color="000001"/>
          <w:insideH w:val="single" w:sz="2" w:space="0" w:color="000001"/>
        </w:tblBorders>
        <w:tblCellMar>
          <w:top w:w="0" w:type="dxa"/>
          <w:left w:w="25" w:type="dxa"/>
          <w:bottom w:w="0" w:type="dxa"/>
          <w:right w:w="28" w:type="dxa"/>
        </w:tblCellMar>
        <w:tblLook w:firstRow="0" w:noVBand="0" w:lastRow="0" w:firstColumn="0" w:lastColumn="0" w:noHBand="0" w:val="0000"/>
      </w:tblPr>
      <w:tblGrid>
        <w:gridCol w:w="4592"/>
        <w:gridCol w:w="4763"/>
      </w:tblGrid>
      <w:tr>
        <w:trPr>
          <w:trHeight w:val="281" w:hRule="atLeast"/>
        </w:trPr>
        <w:tc>
          <w:tcPr>
            <w:tcW w:w="4592" w:type="dxa"/>
            <w:tcBorders>
              <w:top w:val="single" w:sz="2" w:space="0" w:color="000001"/>
              <w:left w:val="single" w:sz="2" w:space="0" w:color="000001"/>
              <w:bottom w:val="single" w:sz="2" w:space="0" w:color="000001"/>
              <w:insideH w:val="single" w:sz="2" w:space="0" w:color="000001"/>
            </w:tcBorders>
            <w:shd w:color="auto" w:fill="D9D9D9" w:val="clear"/>
            <w:tcMar>
              <w:left w:w="25" w:type="dxa"/>
            </w:tcMar>
            <w:vAlign w:val="bottom"/>
          </w:tcPr>
          <w:p>
            <w:pPr>
              <w:pStyle w:val="Normal"/>
              <w:spacing w:before="40" w:after="40"/>
              <w:ind w:hanging="0"/>
              <w:jc w:val="center"/>
              <w:rPr>
                <w:rFonts w:ascii="Arial" w:hAnsi="Arial" w:cs="Arial"/>
                <w:b/>
                <w:b/>
                <w:bCs/>
                <w:sz w:val="18"/>
              </w:rPr>
            </w:pPr>
            <w:r>
              <w:rPr>
                <w:rFonts w:cs="Arial" w:ascii="Arial" w:hAnsi="Arial"/>
                <w:b/>
                <w:bCs/>
                <w:sz w:val="18"/>
              </w:rPr>
              <w:t>Zanieczyszczenie</w:t>
            </w:r>
          </w:p>
        </w:tc>
        <w:tc>
          <w:tcPr>
            <w:tcW w:w="47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val="clear"/>
            <w:tcMar>
              <w:left w:w="25" w:type="dxa"/>
            </w:tcMar>
            <w:vAlign w:val="bottom"/>
          </w:tcPr>
          <w:p>
            <w:pPr>
              <w:pStyle w:val="Normal"/>
              <w:spacing w:before="40" w:after="40"/>
              <w:ind w:hanging="0"/>
              <w:jc w:val="center"/>
              <w:rPr>
                <w:rFonts w:ascii="Arial" w:hAnsi="Arial" w:cs="Arial"/>
                <w:b/>
                <w:b/>
                <w:bCs/>
                <w:sz w:val="18"/>
              </w:rPr>
            </w:pPr>
            <w:r>
              <w:rPr>
                <w:rFonts w:cs="Arial" w:ascii="Arial" w:hAnsi="Arial"/>
                <w:b/>
                <w:bCs/>
                <w:sz w:val="18"/>
                <w:szCs w:val="22"/>
              </w:rPr>
              <w:t>Wskaźnik emisji [g/km/poj]</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Pył</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szCs w:val="22"/>
              </w:rPr>
              <w:t>0,2486</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Tlenek węgla CO</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szCs w:val="22"/>
              </w:rPr>
              <w:t>0,9135</w:t>
            </w:r>
          </w:p>
        </w:tc>
      </w:tr>
      <w:tr>
        <w:trPr>
          <w:trHeight w:val="268"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vertAlign w:val="subscript"/>
              </w:rPr>
            </w:pPr>
            <w:r>
              <w:rPr>
                <w:rFonts w:cs="Arial" w:ascii="Arial" w:hAnsi="Arial"/>
                <w:sz w:val="18"/>
              </w:rPr>
              <w:t>Dwutlenek azotu NO</w:t>
            </w:r>
            <w:r>
              <w:rPr>
                <w:rFonts w:cs="Arial" w:ascii="Arial" w:hAnsi="Arial"/>
                <w:sz w:val="18"/>
                <w:vertAlign w:val="subscript"/>
              </w:rPr>
              <w:t>2</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szCs w:val="22"/>
              </w:rPr>
              <w:t>0,3462</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Benzen</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szCs w:val="22"/>
              </w:rPr>
              <w:t>0,0185</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Węglowodory alifatyczne</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szCs w:val="22"/>
              </w:rPr>
              <w:t>0,7755</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Węglowodory aromatyczne</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szCs w:val="22"/>
              </w:rPr>
              <w:t>0,1935</w:t>
            </w:r>
          </w:p>
        </w:tc>
      </w:tr>
    </w:tbl>
    <w:p>
      <w:pPr>
        <w:pStyle w:val="Normal"/>
        <w:spacing w:lineRule="auto" w:line="360"/>
        <w:rPr/>
      </w:pPr>
      <w:r>
        <w:rPr/>
      </w:r>
    </w:p>
    <w:p>
      <w:pPr>
        <w:pStyle w:val="Normal"/>
        <w:rPr/>
      </w:pPr>
      <w:r>
        <w:rPr/>
        <w:t>Przyjęte założenia dla ruchu pojazdów i maszyn:</w:t>
      </w:r>
    </w:p>
    <w:p>
      <w:pPr>
        <w:pStyle w:val="Normal"/>
        <w:numPr>
          <w:ilvl w:val="0"/>
          <w:numId w:val="34"/>
        </w:numPr>
        <w:rPr/>
      </w:pPr>
      <w:r>
        <w:rPr/>
        <w:t>maksymalna ilość pojazdów poruszających się po terenie w ciągu doby – samochód ciężarowy, spycharka, koparko-ładowarka,</w:t>
      </w:r>
    </w:p>
    <w:p>
      <w:pPr>
        <w:pStyle w:val="Normal"/>
        <w:numPr>
          <w:ilvl w:val="0"/>
          <w:numId w:val="34"/>
        </w:numPr>
        <w:rPr/>
      </w:pPr>
      <w:r>
        <w:rPr/>
        <w:t>średni pokonywany dystans – 300 m na dobę,</w:t>
      </w:r>
    </w:p>
    <w:p>
      <w:pPr>
        <w:pStyle w:val="Normal"/>
        <w:numPr>
          <w:ilvl w:val="0"/>
          <w:numId w:val="34"/>
        </w:numPr>
        <w:rPr/>
      </w:pPr>
      <w:r>
        <w:rPr/>
        <w:t>maksymalna ilość dni pracy w roku – 100.</w:t>
      </w:r>
    </w:p>
    <w:p>
      <w:pPr>
        <w:pStyle w:val="Normal"/>
        <w:rPr/>
      </w:pPr>
      <w:r>
        <w:rPr/>
        <w:t xml:space="preserve">Przyjęte powyżej dane zakładają maksymalne obciążenie związane z ruchem maszyn. Szacuje się, że faktyczny ruch maszyn będzie o 50% mniejszy.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24</w:t>
      </w:r>
      <w:r>
        <w:fldChar w:fldCharType="end"/>
      </w:r>
      <w:r>
        <w:rPr/>
        <w:t>.</w:t>
      </w:r>
      <w:r>
        <w:rPr>
          <w:b w:val="false"/>
        </w:rPr>
        <w:t xml:space="preserve"> Emisja roczna z ruchu pojazdów i maszyn po terenie przy założeniu nominalnego obciążenia</w:t>
      </w:r>
    </w:p>
    <w:tbl>
      <w:tblPr>
        <w:tblW w:w="9356" w:type="dxa"/>
        <w:jc w:val="left"/>
        <w:tblInd w:w="28" w:type="dxa"/>
        <w:tblBorders>
          <w:top w:val="single" w:sz="2" w:space="0" w:color="000001"/>
          <w:left w:val="single" w:sz="2" w:space="0" w:color="000001"/>
          <w:bottom w:val="single" w:sz="2" w:space="0" w:color="000001"/>
          <w:insideH w:val="single" w:sz="2" w:space="0" w:color="000001"/>
        </w:tblBorders>
        <w:tblCellMar>
          <w:top w:w="0" w:type="dxa"/>
          <w:left w:w="25" w:type="dxa"/>
          <w:bottom w:w="0" w:type="dxa"/>
          <w:right w:w="28" w:type="dxa"/>
        </w:tblCellMar>
        <w:tblLook w:firstRow="0" w:noVBand="0" w:lastRow="0" w:firstColumn="0" w:lastColumn="0" w:noHBand="0" w:val="0000"/>
      </w:tblPr>
      <w:tblGrid>
        <w:gridCol w:w="4592"/>
        <w:gridCol w:w="4763"/>
      </w:tblGrid>
      <w:tr>
        <w:trPr>
          <w:trHeight w:val="281" w:hRule="atLeast"/>
        </w:trPr>
        <w:tc>
          <w:tcPr>
            <w:tcW w:w="4592" w:type="dxa"/>
            <w:tcBorders>
              <w:top w:val="single" w:sz="2" w:space="0" w:color="000001"/>
              <w:left w:val="single" w:sz="2" w:space="0" w:color="000001"/>
              <w:bottom w:val="single" w:sz="2" w:space="0" w:color="000001"/>
              <w:insideH w:val="single" w:sz="2" w:space="0" w:color="000001"/>
            </w:tcBorders>
            <w:shd w:color="auto" w:fill="D9D9D9" w:val="clear"/>
            <w:tcMar>
              <w:left w:w="25" w:type="dxa"/>
            </w:tcMar>
            <w:vAlign w:val="bottom"/>
          </w:tcPr>
          <w:p>
            <w:pPr>
              <w:pStyle w:val="Normal"/>
              <w:spacing w:before="40" w:after="40"/>
              <w:ind w:hanging="0"/>
              <w:jc w:val="center"/>
              <w:rPr>
                <w:rFonts w:ascii="Arial" w:hAnsi="Arial" w:cs="Arial"/>
                <w:b/>
                <w:b/>
                <w:bCs/>
                <w:sz w:val="18"/>
              </w:rPr>
            </w:pPr>
            <w:r>
              <w:rPr>
                <w:rFonts w:cs="Arial" w:ascii="Arial" w:hAnsi="Arial"/>
                <w:b/>
                <w:bCs/>
                <w:sz w:val="18"/>
              </w:rPr>
              <w:t>Zanieczyszczenie</w:t>
            </w:r>
          </w:p>
        </w:tc>
        <w:tc>
          <w:tcPr>
            <w:tcW w:w="47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val="clear"/>
            <w:tcMar>
              <w:left w:w="25" w:type="dxa"/>
            </w:tcMar>
            <w:vAlign w:val="bottom"/>
          </w:tcPr>
          <w:p>
            <w:pPr>
              <w:pStyle w:val="Normal"/>
              <w:spacing w:before="40" w:after="40"/>
              <w:ind w:hanging="0"/>
              <w:jc w:val="center"/>
              <w:rPr>
                <w:rFonts w:ascii="Arial" w:hAnsi="Arial" w:cs="Arial"/>
                <w:b/>
                <w:b/>
                <w:bCs/>
                <w:sz w:val="18"/>
              </w:rPr>
            </w:pPr>
            <w:r>
              <w:rPr>
                <w:rFonts w:cs="Arial" w:ascii="Arial" w:hAnsi="Arial"/>
                <w:b/>
                <w:bCs/>
                <w:sz w:val="18"/>
              </w:rPr>
              <w:t>Emisja [kg/rok]</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Pył</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rPr>
              <w:t>0,02235</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Tlenek węgla CO</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rPr>
              <w:t>0,0822</w:t>
            </w:r>
          </w:p>
        </w:tc>
      </w:tr>
      <w:tr>
        <w:trPr>
          <w:trHeight w:val="268"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vertAlign w:val="subscript"/>
              </w:rPr>
            </w:pPr>
            <w:r>
              <w:rPr>
                <w:rFonts w:cs="Arial" w:ascii="Arial" w:hAnsi="Arial"/>
                <w:sz w:val="18"/>
              </w:rPr>
              <w:t>Dwutlenek azotu NO</w:t>
            </w:r>
            <w:r>
              <w:rPr>
                <w:rFonts w:cs="Arial" w:ascii="Arial" w:hAnsi="Arial"/>
                <w:sz w:val="18"/>
                <w:vertAlign w:val="subscript"/>
              </w:rPr>
              <w:t>2</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rPr>
              <w:t>0,0312</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Benzen</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rPr>
              <w:t>0,00165</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Węglowodory alifatyczne</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rPr>
              <w:t>0,06975</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Węglowodory aromatyczne</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rPr>
              <w:t>0,0174</w:t>
            </w:r>
          </w:p>
        </w:tc>
      </w:tr>
    </w:tbl>
    <w:p>
      <w:pPr>
        <w:pStyle w:val="Normal"/>
        <w:spacing w:lineRule="auto" w:line="360"/>
        <w:rPr/>
      </w:pPr>
      <w:r>
        <w:rPr/>
      </w:r>
    </w:p>
    <w:p>
      <w:pPr>
        <w:pStyle w:val="Normal"/>
        <w:rPr/>
      </w:pPr>
      <w:r>
        <w:rPr/>
        <w:t xml:space="preserve">Powyższe obliczenia wskazują na znikomą emisję zanieczyszczeń do atmosfery. </w:t>
        <w:br/>
        <w:t xml:space="preserve">W oparciu o dane literaturowe związane z rozprzestrzenianiem się zanieczyszczeń </w:t>
        <w:br/>
        <w:t xml:space="preserve">w powietrzu można stwierdzić, że na etapie realizacji inwestycji praca ciężkiego sprzętu budowlanego nie spowoduje przekroczenia dopuszczalnych standardów powietrza oraz wartości odniesienia w powietrzu. </w:t>
      </w:r>
    </w:p>
    <w:p>
      <w:pPr>
        <w:pStyle w:val="Normal"/>
        <w:rPr/>
      </w:pPr>
      <w:r>
        <w:rPr/>
        <w:t xml:space="preserve">Podczas pracy sprzętu budowlanego istnieje możliwość wyzwolenia do powietrza atmosferycznego benzenu, który jest domieszką do paliw. Jego zawartość w paliwie wynosi około 3%. Ponieważ jest substancją bardzo lotną, łatwo wydostaje się ze zbiornika zwłaszcza przy tankowaniu, jego resztki zawarte są także w spalinach. Należy bezwzględnie przestrzegać zasad BHP podczas pracy ciężkiego sprzętu oraz tankować paliwo tylko w miejscach do tego wyznaczonych, poza obszarem realizacji przedsięwzięcia. </w:t>
      </w:r>
    </w:p>
    <w:p>
      <w:pPr>
        <w:pStyle w:val="Normal"/>
        <w:rPr/>
      </w:pPr>
      <w:r>
        <w:rPr/>
        <w:t>Na etapie realizacji inwestycji podczas przesypywania mas ziemnych istnieje możliwość emisji pyłów, które uczestniczą w transportowaniu węglowodorów, osadzają się na powierzchni liści pochłaniając światło. Mogą zatykać aparaty szparkowe i utrudniać przebieg fotosyntezy. U człowieka podrażniają oczy, skórę i drogi oddechowe (pylica płuc), powodują alergie, osadzają się w płucach, w podobny sposób jak u osób palących papierosy. Niewielka ilość pyłów będzie pochodzić również z silników Diesla. Należy jednak zaznaczyć, że ewentualne zapylenie podczas prowadzenia prac ziemnych będzie miało krótkotrwały charakter i zasięg jedynie lokalny.</w:t>
      </w:r>
    </w:p>
    <w:p>
      <w:pPr>
        <w:pStyle w:val="Normal"/>
        <w:rPr/>
      </w:pPr>
      <w:r>
        <w:rPr/>
      </w:r>
    </w:p>
    <w:p>
      <w:pPr>
        <w:pStyle w:val="Nagwek3"/>
        <w:numPr>
          <w:ilvl w:val="2"/>
          <w:numId w:val="2"/>
        </w:numPr>
        <w:ind w:hanging="851"/>
        <w:rPr/>
      </w:pPr>
      <w:bookmarkStart w:id="76" w:name="_Toc518331338"/>
      <w:bookmarkEnd w:id="76"/>
      <w:r>
        <w:rPr/>
        <w:t>Oddziaływanie na klimat akustyczny</w:t>
      </w:r>
    </w:p>
    <w:p>
      <w:pPr>
        <w:pStyle w:val="Normal"/>
        <w:rPr/>
      </w:pPr>
      <w:r>
        <w:rPr/>
        <w:t>Oddziaływanie na klimat akustyczny otoczenia ograniczać się będzie do hałasu wytwarzanego przez maszyny budowlane. Realizacja zamierzonego przedsięwzięcia będzie trwała około 100 dni. Prace prowadzone będą w godzinach od 6:00 do 22:00. Maszyny będą pracować okresowo, wyłącznie w porze dziennej i w dni powszednie.</w:t>
      </w:r>
    </w:p>
    <w:p>
      <w:pPr>
        <w:pStyle w:val="Normal"/>
        <w:rPr/>
      </w:pPr>
      <w:r>
        <w:rPr/>
        <w:t>Przyjmuje się, że poziom mocy akustycznej przykładowych źródeł hałasu związanych z prowadzeniem prac wynosi:</w:t>
      </w:r>
    </w:p>
    <w:p>
      <w:pPr>
        <w:pStyle w:val="Normal"/>
        <w:spacing w:before="120" w:after="120"/>
        <w:rPr>
          <w:b/>
          <w:b/>
        </w:rPr>
      </w:pPr>
      <w:r>
        <w:rPr>
          <w:b/>
        </w:rPr>
        <w:t>koparka, spycharka: 90 – 105 dB</w:t>
      </w:r>
    </w:p>
    <w:p>
      <w:pPr>
        <w:pStyle w:val="Normal"/>
        <w:rPr/>
      </w:pPr>
      <w:r>
        <w:rPr/>
        <w:t xml:space="preserve">Urządzenia używane podczas realizacji przedsięwzięcia powinny spełniać wymogi rozporządzenia Ministra Gospodarki z dnia 21 grudnia 2005 r. </w:t>
      </w:r>
      <w:r>
        <w:rPr>
          <w:i/>
        </w:rPr>
        <w:t>w sprawie zasadniczych wymagań dla urządzeń używanych na zewnątrz pomieszczeń w zakresie emisji hałasu do środowiska</w:t>
      </w:r>
      <w:r>
        <w:rPr/>
        <w:t xml:space="preserve"> (Dz. U. 2005 Nr 263, poz. 2202 ze zm.).</w:t>
      </w:r>
    </w:p>
    <w:p>
      <w:pPr>
        <w:pStyle w:val="Normal"/>
        <w:rPr/>
      </w:pPr>
      <w:r>
        <w:rPr/>
        <w:t>Hałas pracującej maszyny nie przekroczy dopuszczalnych wartości. Biorąc pod uwagę ograniczony czas pracy urządzeń oraz zastosowanie nowoczesnych technologii, można stwierdzić, że uciążliwość akustyczna występująca w fazie realizacji nie będzie powodowała znaczących skutków dla środowiska.</w:t>
      </w:r>
    </w:p>
    <w:p>
      <w:pPr>
        <w:pStyle w:val="Normal"/>
        <w:rPr/>
      </w:pPr>
      <w:r>
        <w:rPr/>
      </w:r>
    </w:p>
    <w:p>
      <w:pPr>
        <w:pStyle w:val="Nagwek3"/>
        <w:numPr>
          <w:ilvl w:val="2"/>
          <w:numId w:val="2"/>
        </w:numPr>
        <w:ind w:hanging="851"/>
        <w:rPr/>
      </w:pPr>
      <w:bookmarkStart w:id="77" w:name="_Toc518331339"/>
      <w:bookmarkEnd w:id="77"/>
      <w:r>
        <w:rPr/>
        <w:t>Oddziaływanie na powierzchnię ziemi z uwzględnieniem ruchów masowych ziemi</w:t>
      </w:r>
    </w:p>
    <w:p>
      <w:pPr>
        <w:pStyle w:val="Normal"/>
        <w:rPr/>
      </w:pPr>
      <w:r>
        <w:rPr/>
        <w:t xml:space="preserve">W trakcie budowy nastąpi naruszenie powierzchni ziemi i pokrywy glebowej w miejscu usytuowania fundamentów obiektów budowlanych oraz w miejscu nowych placów manewrowych i dróg wewnętrznych. W tych miejscach zostanie zdjęta wierzchnia warstwa gruntu oraz zostanie wykonana niezbędna niwelacja do rzędnej określonej w projekcie budowlanym. </w:t>
      </w:r>
    </w:p>
    <w:p>
      <w:pPr>
        <w:pStyle w:val="Normal"/>
        <w:rPr/>
      </w:pPr>
      <w:r>
        <w:rPr/>
        <w:t xml:space="preserve">Powstałe masy ziemne w miarę potrzeb i możliwości zostaną zagospodarowywane </w:t>
        <w:br/>
        <w:t xml:space="preserve">w granicach przedsięwzięcia – do odtworzenia bądź uporządkowania wierzchniej warstwy gruntu. Zaleca się, aby w największym możliwym stopniu zdjąć warstwę gleby przed rozpoczęciem prac budowlanych, a następnie wykorzystać ją po ich zakończeniu m.in. do urządzenia powierzchni biologicznie czynnej. </w:t>
      </w:r>
    </w:p>
    <w:p>
      <w:pPr>
        <w:pStyle w:val="Normal"/>
        <w:rPr/>
      </w:pPr>
      <w:r>
        <w:rPr/>
        <w:t>Omawiany teren jest położony w obrębie tarasu nadzalewowego w miejscu, które w żadnym stopniu nie jest narażone na występowanie ruchów masowych ziemi. Realizacja przedsięwzięcia nie będzie źródłem zagrożenia wystąpienia ruchów masowych.</w:t>
      </w:r>
    </w:p>
    <w:p>
      <w:pPr>
        <w:pStyle w:val="Normal"/>
        <w:rPr/>
      </w:pPr>
      <w:r>
        <w:rPr/>
      </w:r>
    </w:p>
    <w:p>
      <w:pPr>
        <w:pStyle w:val="Nagwek3"/>
        <w:numPr>
          <w:ilvl w:val="2"/>
          <w:numId w:val="2"/>
        </w:numPr>
        <w:ind w:hanging="851"/>
        <w:rPr/>
      </w:pPr>
      <w:bookmarkStart w:id="78" w:name="_Toc518331340"/>
      <w:bookmarkEnd w:id="78"/>
      <w:r>
        <w:rPr/>
        <w:t>Gospodarka odpadami</w:t>
      </w:r>
    </w:p>
    <w:p>
      <w:pPr>
        <w:pStyle w:val="Normal"/>
        <w:rPr/>
      </w:pPr>
      <w:r>
        <w:rPr/>
        <w:t>W związku z realizacją przedsięwzięcia powstaną typowe odpady budowlane. Do odpadów powstających w fazie budowy należą:</w:t>
      </w:r>
    </w:p>
    <w:p>
      <w:pPr>
        <w:pStyle w:val="Normal"/>
        <w:rPr/>
      </w:pPr>
      <w:r>
        <w:rPr/>
        <w:t>15 01 01 – opakowania po materiałach budowlanych wykonane z papieru i tektury,</w:t>
      </w:r>
    </w:p>
    <w:p>
      <w:pPr>
        <w:pStyle w:val="Normal"/>
        <w:rPr/>
      </w:pPr>
      <w:r>
        <w:rPr/>
        <w:t>15 01 02 – opakowania po materiałach budowlanych wykonane z tworzyw sztucznych,</w:t>
      </w:r>
    </w:p>
    <w:p>
      <w:pPr>
        <w:pStyle w:val="Normal"/>
        <w:rPr/>
      </w:pPr>
      <w:r>
        <w:rPr/>
        <w:t>15 01 04 – opakowania po materiałach budowlanych wykonane z metali,</w:t>
      </w:r>
    </w:p>
    <w:p>
      <w:pPr>
        <w:pStyle w:val="Normal"/>
        <w:rPr/>
      </w:pPr>
      <w:r>
        <w:rPr/>
        <w:t>16 02 14 – odpady elektroenergetyczne,</w:t>
      </w:r>
    </w:p>
    <w:p>
      <w:pPr>
        <w:pStyle w:val="Normal"/>
        <w:rPr/>
      </w:pPr>
      <w:r>
        <w:rPr/>
        <w:t xml:space="preserve">17 01 01 – gruz betonowy, </w:t>
      </w:r>
    </w:p>
    <w:p>
      <w:pPr>
        <w:pStyle w:val="Normal"/>
        <w:rPr/>
      </w:pPr>
      <w:r>
        <w:rPr/>
        <w:t>17 04 02 – gruz ceglany,</w:t>
      </w:r>
    </w:p>
    <w:p>
      <w:pPr>
        <w:pStyle w:val="Normal"/>
        <w:rPr/>
      </w:pPr>
      <w:r>
        <w:rPr/>
        <w:t>17 04 05 – złom stalowy,</w:t>
      </w:r>
    </w:p>
    <w:p>
      <w:pPr>
        <w:pStyle w:val="Normal"/>
        <w:rPr/>
      </w:pPr>
      <w:r>
        <w:rPr/>
        <w:t>17 04 07 – mieszanina metali,</w:t>
      </w:r>
    </w:p>
    <w:p>
      <w:pPr>
        <w:pStyle w:val="Normal"/>
        <w:rPr/>
      </w:pPr>
      <w:r>
        <w:rPr/>
        <w:t xml:space="preserve">17 04 11 </w:t>
        <w:softHyphen/>
        <w:softHyphen/>
        <w:t>– kable,</w:t>
      </w:r>
    </w:p>
    <w:p>
      <w:pPr>
        <w:pStyle w:val="Normal"/>
        <w:rPr/>
      </w:pPr>
      <w:r>
        <w:rPr/>
        <w:t>17 09 04 – zmieszane odpady z budowy,</w:t>
      </w:r>
    </w:p>
    <w:p>
      <w:pPr>
        <w:pStyle w:val="Normal"/>
        <w:rPr/>
      </w:pPr>
      <w:r>
        <w:rPr/>
        <w:t>20 03 01 – niesegregowane odpady komunalne.</w:t>
      </w:r>
    </w:p>
    <w:p>
      <w:pPr>
        <w:pStyle w:val="Normal"/>
        <w:rPr/>
      </w:pPr>
      <w:r>
        <w:rPr/>
        <w:t>W związku z prowadzeniem prac budowlanych konieczne będzie także usunięcie z terenu przedsięwzięcia istniejących obiektów budowlanych, a więc budynku kotłowni, budynku gospodarczego i stalowego emitora. Budynki przewidziane do wyburzenia są wykonane w technologii tradycyjnej. W wyniku tych prac powstaną przede wszystkim odpady gruzu ceglanego i betonowego, złom stalowy, zmieszane odpady budowlane i elementów wyposażenia czy odpadowe kable. Spółka Beskid Żywiec Sp. z o.o. eksploatuje instalację do przetwarzania odpadów, w której możliwe jest częściowe przetworzenie tych odpadów. Część odpadów (gruz) jako odpady inertne może zostać przekazana do składowania na składowisko odpadów obojętnych lub innych niż niebezpieczne. Pozostałe odpady trafią do dalszego przetworzenia do uprawnionych odbiorców zewnętrznych.</w:t>
      </w:r>
    </w:p>
    <w:p>
      <w:pPr>
        <w:pStyle w:val="Normal"/>
        <w:rPr/>
      </w:pPr>
      <w:r>
        <w:rPr>
          <w:szCs w:val="24"/>
        </w:rPr>
        <w:t>Odpady</w:t>
      </w:r>
      <w:r>
        <w:rPr/>
        <w:t xml:space="preserve"> powstające w trakcie prowadzenia prac budowlanych będą w całości wytwarzane przez zewnętrzny podmiot prowadzący prace (wykonawcę) i nie będą stanowić odpadów Inwestora. Tym samym obowiązek prawidłowego gospodarowania odpadami będzie spoczywał na wykonawcy prac budowlanych. Odpady te będą gromadzone w kontenerach wykonawcy i usuwane z terenu budowy na bieżąco. </w:t>
      </w:r>
    </w:p>
    <w:p>
      <w:pPr>
        <w:pStyle w:val="Normal"/>
        <w:rPr/>
      </w:pPr>
      <w:r>
        <w:rPr>
          <w:szCs w:val="24"/>
        </w:rPr>
        <w:t>Podczas</w:t>
      </w:r>
      <w:r>
        <w:rPr/>
        <w:t xml:space="preserve"> budowy przewiduje się wykonanie wykopów pod ławy fundamentowe o głębokości maksymalnie 1,5 m, bez potrzeby odwadniania. Ingerencja w glebę będzie miała charakter lokalny, ograniczony do powierzchni nowo budowanego budynku i placu manewrowego. Gleba i ziemia z wykopów będzie zagospodarowana w obrębie działki do kształtowania powierzchni biologicznie czynnej, w związku z czym nie należy jej traktować jak odpadu.</w:t>
      </w:r>
    </w:p>
    <w:p>
      <w:pPr>
        <w:pStyle w:val="Normal"/>
        <w:rPr/>
      </w:pPr>
      <w:r>
        <w:rPr/>
      </w:r>
    </w:p>
    <w:p>
      <w:pPr>
        <w:pStyle w:val="Nagwek3"/>
        <w:numPr>
          <w:ilvl w:val="2"/>
          <w:numId w:val="2"/>
        </w:numPr>
        <w:ind w:hanging="851"/>
        <w:rPr/>
      </w:pPr>
      <w:bookmarkStart w:id="79" w:name="_Toc518331341"/>
      <w:r>
        <w:rPr/>
        <w:t>Oddziaływanie na dobra materialne</w:t>
      </w:r>
      <w:bookmarkEnd w:id="79"/>
      <w:r>
        <w:rPr/>
        <w:t xml:space="preserve"> </w:t>
      </w:r>
    </w:p>
    <w:p>
      <w:pPr>
        <w:pStyle w:val="Normal"/>
        <w:rPr/>
      </w:pPr>
      <w:r>
        <w:rPr/>
        <w:t>W związku z lokalizacją inwestycji na zagospodarowanym terenie przemysłowym, właściwie można wykluczyć jakiekolwiek oddziaływanie na dobra materialne. Inwestycja spowoduje częściową przebudowę istniejącego terenu przemysłowego i będzie z nim skorelowana krajobrazowo i funkcjonalnie. Takie rozwiązanie nie wpłynie m.in. na ewentualny spadek wartości materialnej pobliskich terenów lub nieruchomości.</w:t>
      </w:r>
    </w:p>
    <w:p>
      <w:pPr>
        <w:pStyle w:val="Normal"/>
        <w:spacing w:lineRule="auto" w:line="360"/>
        <w:rPr/>
      </w:pPr>
      <w:r>
        <w:rPr/>
        <w:t xml:space="preserve"> </w:t>
      </w:r>
    </w:p>
    <w:p>
      <w:pPr>
        <w:pStyle w:val="Nagwek3"/>
        <w:numPr>
          <w:ilvl w:val="2"/>
          <w:numId w:val="2"/>
        </w:numPr>
        <w:ind w:hanging="851"/>
        <w:rPr/>
      </w:pPr>
      <w:bookmarkStart w:id="80" w:name="_Toc518331342"/>
      <w:r>
        <w:rPr/>
        <w:t>Oddziaływanie na zabytki i krajobraz kulturowy, objęte istniejącą dokumentacją, w szczególności rejestrem lub ewidencją zabytków</w:t>
      </w:r>
      <w:bookmarkEnd w:id="80"/>
      <w:r>
        <w:rPr/>
        <w:t xml:space="preserve"> </w:t>
      </w:r>
    </w:p>
    <w:p>
      <w:pPr>
        <w:pStyle w:val="Normal"/>
        <w:rPr/>
      </w:pPr>
      <w:r>
        <w:rPr/>
        <w:t xml:space="preserve">W bezpośrednim sąsiedztwie oraz w obszarze potencjalnego oddziaływania przedsięwzięcia nie występują zabytki objęte ochroną, a więc nie przewiduje się oddziaływania na takie obiekty. </w:t>
      </w:r>
    </w:p>
    <w:p>
      <w:pPr>
        <w:pStyle w:val="Normal"/>
        <w:rPr/>
      </w:pPr>
      <w:r>
        <w:rPr/>
      </w:r>
    </w:p>
    <w:p>
      <w:pPr>
        <w:pStyle w:val="Nagwek3"/>
        <w:numPr>
          <w:ilvl w:val="2"/>
          <w:numId w:val="2"/>
        </w:numPr>
        <w:ind w:hanging="851"/>
        <w:rPr/>
      </w:pPr>
      <w:bookmarkStart w:id="81" w:name="_Toc518331343"/>
      <w:r>
        <w:rPr/>
        <w:t>Oddziaływanie na krajobraz</w:t>
      </w:r>
      <w:bookmarkEnd w:id="81"/>
      <w:r>
        <w:rPr/>
        <w:t xml:space="preserve"> </w:t>
      </w:r>
    </w:p>
    <w:p>
      <w:pPr>
        <w:pStyle w:val="Normal"/>
        <w:rPr/>
      </w:pPr>
      <w:r>
        <w:rPr/>
        <w:t xml:space="preserve">Podczas budowy należy się spodziewać krótkotrwałego i nieznacznego oddziaływania na walory estetyczne krajobrazu, głównie ze względu na obecność pracujących maszyn budowlanych. Mając jednak na uwadze fakt, że cały proces będzie się odbywał na terenie przemysłowym, tego rodzaju wpływ jest pomijalny. </w:t>
      </w:r>
    </w:p>
    <w:p>
      <w:pPr>
        <w:pStyle w:val="Normal"/>
        <w:rPr/>
      </w:pPr>
      <w:r>
        <w:rPr/>
      </w:r>
    </w:p>
    <w:p>
      <w:pPr>
        <w:pStyle w:val="Nagwek2"/>
        <w:numPr>
          <w:ilvl w:val="1"/>
          <w:numId w:val="2"/>
        </w:numPr>
        <w:ind w:hanging="578"/>
        <w:rPr/>
      </w:pPr>
      <w:bookmarkStart w:id="82" w:name="_Toc518331344"/>
      <w:bookmarkEnd w:id="82"/>
      <w:r>
        <w:rPr/>
        <w:t>Oddziaływanie na etapie eksploatacji</w:t>
      </w:r>
    </w:p>
    <w:p>
      <w:pPr>
        <w:pStyle w:val="Nagwek3"/>
        <w:numPr>
          <w:ilvl w:val="2"/>
          <w:numId w:val="2"/>
        </w:numPr>
        <w:ind w:hanging="851"/>
        <w:rPr/>
      </w:pPr>
      <w:bookmarkStart w:id="83" w:name="_Toc518331345"/>
      <w:bookmarkEnd w:id="83"/>
      <w:r>
        <w:rPr/>
        <w:t>Oddziaływanie na ludzi</w:t>
      </w:r>
    </w:p>
    <w:p>
      <w:pPr>
        <w:pStyle w:val="Nagwek4"/>
        <w:numPr>
          <w:ilvl w:val="3"/>
          <w:numId w:val="2"/>
        </w:numPr>
        <w:ind w:hanging="992"/>
        <w:rPr/>
      </w:pPr>
      <w:r>
        <w:rPr/>
        <w:t xml:space="preserve">Hałas </w:t>
      </w:r>
    </w:p>
    <w:p>
      <w:pPr>
        <w:pStyle w:val="Normal"/>
        <w:rPr/>
      </w:pPr>
      <w:r>
        <w:rPr/>
        <w:t xml:space="preserve">Wykonana analiza akustyczna, przedstawiona w rozdziale 11.2.6 wykazała, iż planowane przedsięwzięcie nie będzie stanowić ponadnormatywnego źródła emisji hałasu, dlatego też nie będzie stanowić zagrożenia dla terenów chronionych akustycznie znajdujących się w jego bezpośrednim otoczeniu. </w:t>
      </w:r>
    </w:p>
    <w:p>
      <w:pPr>
        <w:pStyle w:val="Normal"/>
        <w:rPr/>
      </w:pPr>
      <w:r>
        <w:rPr/>
      </w:r>
    </w:p>
    <w:p>
      <w:pPr>
        <w:pStyle w:val="Nagwek4"/>
        <w:numPr>
          <w:ilvl w:val="3"/>
          <w:numId w:val="2"/>
        </w:numPr>
        <w:ind w:hanging="992"/>
        <w:rPr/>
      </w:pPr>
      <w:r>
        <w:rPr/>
        <w:t xml:space="preserve">Emisje do powietrza </w:t>
      </w:r>
    </w:p>
    <w:p>
      <w:pPr>
        <w:pStyle w:val="Normal"/>
        <w:rPr/>
      </w:pPr>
      <w:r>
        <w:rPr/>
        <w:t xml:space="preserve">Zawarta w punkcie 11.2.5 analiza możliwego oddziaływania w zakresie emisji gazów i pyłów do powietrza wykazała, że funkcjonowanie instalacji nie będzie powodowało przekroczeń dopuszczalnych poziomów emitowanych substancji, zarówno w obrębie przedsięwzięcia, jak i na terenach sąsiadujących z nim nieruchomości zamieszkałych przez ludzi. </w:t>
      </w:r>
    </w:p>
    <w:p>
      <w:pPr>
        <w:pStyle w:val="Normal"/>
        <w:rPr/>
      </w:pPr>
      <w:r>
        <w:rPr/>
        <w:t>Zastosowane urządzenia ochrony powietrza gwarantują wysoką sprawność oczyszczania gazów i pyłów ze spalania odpadów, co potwierdzają przedstawione przez partnera technologicznego Inwestora wyniki pomiarów z instalacji referencyjnej.</w:t>
      </w:r>
    </w:p>
    <w:p>
      <w:pPr>
        <w:pStyle w:val="Normal"/>
        <w:rPr/>
      </w:pPr>
      <w:r>
        <w:rPr/>
        <w:t xml:space="preserve">Należy również podkreślić, że technologia proponowana w niniejszej instalacji zredukuje całkowicie możliwość wystąpienia oddziaływań złowonnych. </w:t>
      </w:r>
    </w:p>
    <w:p>
      <w:pPr>
        <w:pStyle w:val="Normal"/>
        <w:rPr/>
      </w:pPr>
      <w:r>
        <w:rPr/>
      </w:r>
    </w:p>
    <w:p>
      <w:pPr>
        <w:pStyle w:val="Nagwek4"/>
        <w:numPr>
          <w:ilvl w:val="3"/>
          <w:numId w:val="2"/>
        </w:numPr>
        <w:ind w:hanging="992"/>
        <w:rPr/>
      </w:pPr>
      <w:r>
        <w:rPr/>
        <w:t xml:space="preserve"> </w:t>
      </w:r>
      <w:r>
        <w:rPr/>
        <w:t xml:space="preserve">Dobra materialne i możliwość powstawania konfliktów społecznych </w:t>
      </w:r>
    </w:p>
    <w:p>
      <w:pPr>
        <w:pStyle w:val="Normal"/>
        <w:rPr/>
      </w:pPr>
      <w:r>
        <w:rPr/>
        <w:t xml:space="preserve">Mając na uwadze odbiór społeczny instalacji termicznego przekształcania odpadów należy uznać, że analizowane przedsięwzięcia na etapie przygotowywania, w tym procedowania decyzji środowiskowej, może być źródłem obaw okolicznych mieszkańców, artykułowanych w formie zapytań do Inwestora, czy wręcz protestów. Jednym z często wysuwanych argumentów przeciw inwestycji jest ten o zmniejszeniu wartości nieruchomości w rejonie spalarni odpadów. </w:t>
      </w:r>
    </w:p>
    <w:p>
      <w:pPr>
        <w:pStyle w:val="Normal"/>
        <w:rPr/>
      </w:pPr>
      <w:r>
        <w:rPr/>
        <w:t xml:space="preserve">Z całą mocą należy stwierdzić, że planowane przedsięwzięcie w zaproponowanym kształcie nie będzie oddziaływać na środowisko w sposób i zakresie, który mógłby spowodować pogorszenie się jakości życia okolicznych mieszkańców, a co za tym idzie mógłby mieć wpływ na wartość nieruchomości w okolicy. Planowane działania zmierzające do zastąpienia źródeł energetycznych na paliwa konwencjonalne energią cieplną z instalacji o dużo niższych wielkościach emisji może wpłynąć na poprawę jakości powietrza w okolicy, a więc faktycznie nie powinien mieć wpływu na wartość nieruchomości. Niewątpliwie rolą Inwestora oraz władz Żywca jest rzetelne informowanie o przedsięwzięciu w celu przedstawienia kompleksowej wiedzy i wyjaśnienia wszelkich wątpliwości. Takie działania mają z reguły pozytywny odbiór społeczny, co może się przełożyć na brak jakichkolwiek zmian na rynku nieruchomości. Należy jednak zaznaczyć, że na tę kwestię ma wpływ tak dużo czynników (w tym głównie czynniki czysto ekonomiczne), że na obecnym etapie nie sposób stwierdzić jak będzie wyglądała ta tendencja po uruchomieniu instalacji (brak odczuwalnego oddziaływania, pełna transparentność monitoringu emisji, poprawa jakości powietrza, itp. z pewnością mogą korzystnie wpłynąć na odbiór społeczny, a w dalszej kolejności na wartość nieruchomości). </w:t>
      </w:r>
    </w:p>
    <w:p>
      <w:pPr>
        <w:pStyle w:val="Normal"/>
        <w:rPr/>
      </w:pPr>
      <w:r>
        <w:rPr/>
      </w:r>
    </w:p>
    <w:p>
      <w:pPr>
        <w:pStyle w:val="Nagwek3"/>
        <w:numPr>
          <w:ilvl w:val="2"/>
          <w:numId w:val="2"/>
        </w:numPr>
        <w:ind w:hanging="851"/>
        <w:rPr/>
      </w:pPr>
      <w:bookmarkStart w:id="84" w:name="_Toc518331346"/>
      <w:r>
        <w:rPr/>
        <w:t>Oddziaływanie na rośliny, zwierzęta, grzyby i siedliska przyrodnicze</w:t>
      </w:r>
      <w:bookmarkEnd w:id="84"/>
      <w:r>
        <w:rPr/>
        <w:t xml:space="preserve"> </w:t>
      </w:r>
    </w:p>
    <w:p>
      <w:pPr>
        <w:pStyle w:val="Normal"/>
        <w:rPr/>
      </w:pPr>
      <w:r>
        <w:rPr/>
        <w:t xml:space="preserve">Przedsięwzięcie zostanie zlokalizowane na terenie przemysłowym, silnie przekształconym antropogenicznie. Na tym terenie występuje roślinność wybitnie ruderalna, podlegająca dotychczasowym wpływom antropogenicznym. Mogące występować na tym terenie okresowo zwierzęta reprezentują gatunki pospolite typowe dla tego rodzaju siedlisk. Teren planowanej inwestycji nie prezentuje dużych walorów ekologicznych. </w:t>
      </w:r>
    </w:p>
    <w:p>
      <w:pPr>
        <w:pStyle w:val="Normal"/>
        <w:rPr/>
      </w:pPr>
      <w:r>
        <w:rPr/>
        <w:t xml:space="preserve">Emisja z instalacji będzie niewielka i będzie miała charakter lokalny. </w:t>
      </w:r>
    </w:p>
    <w:p>
      <w:pPr>
        <w:pStyle w:val="Normal"/>
        <w:rPr/>
      </w:pPr>
      <w:r>
        <w:rPr/>
        <w:t xml:space="preserve">Powyższe oznacza, że instalacja w fazie eksploatacji nie będzie niekorzystnie wpływać na biocenozy. Należy przypuszczać, że występujące dotychczas na analizowanym terenie gatunki pospolite i typowe dla tego rodzaju obszarów, nie ulegną zmniejszeniu. Zorganizowane działania mające na celu urządzenie zieleni w ramach realizacji przedsięwzięcia tj. zasadzenie skupisk różnorodnych krzewów (potencjalne schronienie i źródło pożywienia dla ptaków) oraz pozostawienie drzew, zlokalizowanych wzdłuż północnej granicy działki przyczynią się do poprawy  różnorodności biologicznej terenu. Niewielka emisja substancji i energii nie będzie stanowiła zagrożenia dla roślinności i zwierząt przebywających na tym terenie.  </w:t>
      </w:r>
    </w:p>
    <w:p>
      <w:pPr>
        <w:pStyle w:val="Normal"/>
        <w:rPr/>
      </w:pPr>
      <w:r>
        <w:rPr/>
      </w:r>
    </w:p>
    <w:p>
      <w:pPr>
        <w:pStyle w:val="Nagwek3"/>
        <w:numPr>
          <w:ilvl w:val="2"/>
          <w:numId w:val="2"/>
        </w:numPr>
        <w:ind w:hanging="851"/>
        <w:rPr/>
      </w:pPr>
      <w:bookmarkStart w:id="85" w:name="_Toc518331347"/>
      <w:r>
        <w:rPr/>
        <w:t>Oddziaływanie na obszary chronione, w tym obszary Natura 2000</w:t>
      </w:r>
      <w:bookmarkEnd w:id="85"/>
      <w:r>
        <w:rPr/>
        <w:t xml:space="preserve"> </w:t>
      </w:r>
    </w:p>
    <w:p>
      <w:pPr>
        <w:pStyle w:val="Normal"/>
        <w:rPr/>
      </w:pPr>
      <w:r>
        <w:rPr/>
        <w:t xml:space="preserve">Mając na uwadze zawarte w raporcie wyniki obliczeń rozprzestrzeniania zanieczyszczeń z instalacji należy uznać, że jej eksploatacja nie będzie miała negatywnego wpływu na obszary chronione. W związku z tym, że na analizowanym obszarze mamy do czynienia ze stałym przekraczaniem standardów jakości powietrza, planowane przedsięwzięcie może się przyczynić do jego poprawy, a to może pozytywnie wpłynąć na obszary chronione. </w:t>
      </w:r>
    </w:p>
    <w:p>
      <w:pPr>
        <w:pStyle w:val="Normal"/>
        <w:rPr/>
      </w:pPr>
      <w:r>
        <w:rPr/>
      </w:r>
    </w:p>
    <w:p>
      <w:pPr>
        <w:pStyle w:val="Nagwek3"/>
        <w:numPr>
          <w:ilvl w:val="2"/>
          <w:numId w:val="2"/>
        </w:numPr>
        <w:ind w:hanging="851"/>
        <w:rPr/>
      </w:pPr>
      <w:bookmarkStart w:id="86" w:name="_Toc518331348"/>
      <w:bookmarkEnd w:id="86"/>
      <w:r>
        <w:rPr/>
        <w:t>Oddziaływanie na wody powierzchniowe i podziemne</w:t>
      </w:r>
    </w:p>
    <w:p>
      <w:pPr>
        <w:pStyle w:val="Normal"/>
        <w:rPr/>
      </w:pPr>
      <w:r>
        <w:rPr/>
        <w:t>Wpływ planowanego przedsięwzięcia na wody powierzchniowe i podziemne ma ścisły związek z prowadzoną na jego terenie gospodarką wodno-ściekową, a więc ilością i sposobem zaopatrzenia w wodę, a także ilością, składem i sposobem odprowadzania ścieków i wód opadowych lub roztopowych. Zaplanowane w ramach realizacji i eksploatacji przedsięwzięcia techniczne i organizacyjno-proceduralne środki bezpieczeństwa wyeliminują lub ograniczą do minimum możliwość negatywnego oddziaływania zakładu na wody powierzchniowe i podziemne.</w:t>
      </w:r>
    </w:p>
    <w:p>
      <w:pPr>
        <w:pStyle w:val="Normal"/>
        <w:rPr/>
      </w:pPr>
      <w:r>
        <w:rPr/>
      </w:r>
    </w:p>
    <w:p>
      <w:pPr>
        <w:pStyle w:val="Nagwek4"/>
        <w:numPr>
          <w:ilvl w:val="3"/>
          <w:numId w:val="2"/>
        </w:numPr>
        <w:ind w:hanging="992"/>
        <w:rPr/>
      </w:pPr>
      <w:r>
        <w:rPr/>
        <w:t>Pobór wody</w:t>
      </w:r>
    </w:p>
    <w:p>
      <w:pPr>
        <w:pStyle w:val="Normal"/>
        <w:rPr/>
      </w:pPr>
      <w:r>
        <w:rPr/>
        <w:t xml:space="preserve">Przedsięwzięcie będzie podłączone do miejskiej sieci wodociągowej. Woda do tej sieci jest dostarczana przez MPWiK Sp. z o.o. Żywiec. Oznacza to że eksploatacja instalacji nie będzie miała wpływu na stan wód podziemnych i powierzchniowych (brak własnego ujęcia wody). Woda będzie wykorzystywane do celów bytowych i na potrzeby funkcjonowania instalacji i nie będzie wymagała dalszego uzdatniania. </w:t>
      </w:r>
    </w:p>
    <w:p>
      <w:pPr>
        <w:pStyle w:val="Normal"/>
        <w:rPr/>
      </w:pPr>
      <w:r>
        <w:rPr/>
        <w:t>Docelowo w zakładzie przewiduje się zatrudnienie maksymalnie 10 osób.</w:t>
      </w:r>
    </w:p>
    <w:p>
      <w:pPr>
        <w:pStyle w:val="Normal"/>
        <w:rPr>
          <w:u w:val="single"/>
        </w:rPr>
      </w:pPr>
      <w:r>
        <w:rPr>
          <w:u w:val="single"/>
        </w:rPr>
      </w:r>
    </w:p>
    <w:p>
      <w:pPr>
        <w:pStyle w:val="Normal"/>
        <w:rPr/>
      </w:pPr>
      <w:r>
        <w:rPr>
          <w:u w:val="single"/>
        </w:rPr>
        <w:t>Zapotrzebowanie na wodę dla pracowników</w:t>
      </w:r>
      <w:r>
        <w:rPr/>
        <w:t xml:space="preserve"> (przy założeniu że wszyscy będą korzystać z natrysków):</w:t>
      </w:r>
    </w:p>
    <w:p>
      <w:pPr>
        <w:pStyle w:val="Normal"/>
        <w:numPr>
          <w:ilvl w:val="0"/>
          <w:numId w:val="55"/>
        </w:numPr>
        <w:ind w:left="714" w:hanging="357"/>
        <w:rPr/>
      </w:pPr>
      <w:r>
        <w:rPr/>
        <w:t>liczba pracowników – maksymalnie 10 osób (trzy zmiany, 2 osoby na jednej zmianie w systemie czterobrygadowym + dwie osoby pojawiające się czasowo na zmianie),</w:t>
      </w:r>
    </w:p>
    <w:p>
      <w:pPr>
        <w:pStyle w:val="Normal"/>
        <w:numPr>
          <w:ilvl w:val="0"/>
          <w:numId w:val="55"/>
        </w:numPr>
        <w:ind w:left="714" w:hanging="357"/>
        <w:rPr/>
      </w:pPr>
      <w:r>
        <w:rPr/>
        <w:t>czas pracy – 24 godziny na dobę przez 341 dni w roku,</w:t>
      </w:r>
    </w:p>
    <w:p>
      <w:pPr>
        <w:pStyle w:val="Normal"/>
        <w:numPr>
          <w:ilvl w:val="0"/>
          <w:numId w:val="55"/>
        </w:numPr>
        <w:ind w:left="714" w:hanging="357"/>
        <w:rPr/>
      </w:pPr>
      <w:r>
        <w:rPr/>
        <w:t>jednostkowe zapotrzebowanie wody dla pracownika (łazienka z natryskiem) – 60 l/d,</w:t>
      </w:r>
    </w:p>
    <w:p>
      <w:pPr>
        <w:pStyle w:val="Normal"/>
        <w:numPr>
          <w:ilvl w:val="0"/>
          <w:numId w:val="55"/>
        </w:numPr>
        <w:ind w:left="714" w:hanging="357"/>
        <w:rPr/>
      </w:pPr>
      <w:r>
        <w:rPr/>
        <w:t>N</w:t>
      </w:r>
      <w:r>
        <w:rPr>
          <w:vertAlign w:val="subscript"/>
        </w:rPr>
        <w:t>d</w:t>
      </w:r>
      <w:r>
        <w:rPr/>
        <w:t xml:space="preserve"> = 1,3 – współczynnik nierównomierności dobowej,</w:t>
      </w:r>
    </w:p>
    <w:p>
      <w:pPr>
        <w:pStyle w:val="Normal"/>
        <w:numPr>
          <w:ilvl w:val="0"/>
          <w:numId w:val="55"/>
        </w:numPr>
        <w:ind w:left="714" w:hanging="357"/>
        <w:rPr/>
      </w:pPr>
      <w:r>
        <w:rPr/>
        <w:t>N</w:t>
      </w:r>
      <w:r>
        <w:rPr>
          <w:vertAlign w:val="subscript"/>
        </w:rPr>
        <w:t>h</w:t>
      </w:r>
      <w:r>
        <w:rPr/>
        <w:t xml:space="preserve"> = 2,8 – współczynnik nierównomierności godzinowej</w:t>
      </w:r>
    </w:p>
    <w:p>
      <w:pPr>
        <w:pStyle w:val="Normal"/>
        <w:rPr/>
      </w:pPr>
      <w:r>
        <w:rPr/>
      </w:r>
    </w:p>
    <w:p>
      <w:pPr>
        <w:pStyle w:val="Normal"/>
        <w:rPr>
          <w:lang w:val="en-US"/>
        </w:rPr>
      </w:pPr>
      <w:r>
        <w:rPr>
          <w:lang w:val="en-US"/>
        </w:rPr>
        <w:t>Q</w:t>
      </w:r>
      <w:r>
        <w:rPr>
          <w:vertAlign w:val="subscript"/>
          <w:lang w:val="en-US"/>
        </w:rPr>
        <w:t>dśr</w:t>
      </w:r>
      <w:r>
        <w:rPr>
          <w:lang w:val="en-US"/>
        </w:rPr>
        <w:t xml:space="preserve"> = 10 × 0,06 = 0,6 m</w:t>
      </w:r>
      <w:r>
        <w:rPr>
          <w:vertAlign w:val="superscript"/>
          <w:lang w:val="en-US"/>
        </w:rPr>
        <w:t>3</w:t>
      </w:r>
      <w:r>
        <w:rPr>
          <w:lang w:val="en-US"/>
        </w:rPr>
        <w:t>/d</w:t>
      </w:r>
    </w:p>
    <w:p>
      <w:pPr>
        <w:pStyle w:val="Normal"/>
        <w:rPr>
          <w:lang w:val="en-US"/>
        </w:rPr>
      </w:pPr>
      <w:r>
        <w:rPr>
          <w:lang w:val="en-US"/>
        </w:rPr>
        <w:t>Q</w:t>
      </w:r>
      <w:r>
        <w:rPr>
          <w:vertAlign w:val="subscript"/>
          <w:lang w:val="en-US"/>
        </w:rPr>
        <w:t>dmax</w:t>
      </w:r>
      <w:r>
        <w:rPr>
          <w:lang w:val="en-US"/>
        </w:rPr>
        <w:t xml:space="preserve"> = 0,6 × 1,3 = 0,78 m</w:t>
      </w:r>
      <w:r>
        <w:rPr>
          <w:vertAlign w:val="superscript"/>
          <w:lang w:val="en-US"/>
        </w:rPr>
        <w:t>3</w:t>
      </w:r>
      <w:r>
        <w:rPr>
          <w:lang w:val="en-US"/>
        </w:rPr>
        <w:t>/d</w:t>
      </w:r>
    </w:p>
    <w:p>
      <w:pPr>
        <w:pStyle w:val="Normal"/>
        <w:rPr>
          <w:lang w:val="en-US"/>
        </w:rPr>
      </w:pPr>
      <w:r>
        <w:rPr>
          <w:lang w:val="en-US"/>
        </w:rPr>
        <w:t>Q</w:t>
      </w:r>
      <w:r>
        <w:rPr>
          <w:vertAlign w:val="subscript"/>
          <w:lang w:val="en-US"/>
        </w:rPr>
        <w:t>hśr</w:t>
      </w:r>
      <w:r>
        <w:rPr>
          <w:lang w:val="en-US"/>
        </w:rPr>
        <w:t xml:space="preserve"> = 0,78 / 24 = 0,0325 m</w:t>
      </w:r>
      <w:r>
        <w:rPr>
          <w:vertAlign w:val="superscript"/>
          <w:lang w:val="en-US"/>
        </w:rPr>
        <w:t>3</w:t>
      </w:r>
      <w:r>
        <w:rPr>
          <w:lang w:val="en-US"/>
        </w:rPr>
        <w:t>/h</w:t>
      </w:r>
    </w:p>
    <w:p>
      <w:pPr>
        <w:pStyle w:val="Normal"/>
        <w:rPr>
          <w:lang w:val="en-US"/>
        </w:rPr>
      </w:pPr>
      <w:r>
        <w:rPr>
          <w:lang w:val="en-US"/>
        </w:rPr>
        <w:t>Q</w:t>
      </w:r>
      <w:r>
        <w:rPr>
          <w:vertAlign w:val="subscript"/>
          <w:lang w:val="en-US"/>
        </w:rPr>
        <w:t>hmax</w:t>
      </w:r>
      <w:r>
        <w:rPr>
          <w:lang w:val="en-US"/>
        </w:rPr>
        <w:t xml:space="preserve"> = 0,0325 × 2,8 = 0,091 m</w:t>
      </w:r>
      <w:r>
        <w:rPr>
          <w:vertAlign w:val="superscript"/>
          <w:lang w:val="en-US"/>
        </w:rPr>
        <w:t>3</w:t>
      </w:r>
      <w:r>
        <w:rPr>
          <w:lang w:val="en-US"/>
        </w:rPr>
        <w:t>/h</w:t>
      </w:r>
    </w:p>
    <w:p>
      <w:pPr>
        <w:pStyle w:val="Normal"/>
        <w:rPr>
          <w:lang w:val="en-US"/>
        </w:rPr>
      </w:pPr>
      <w:r>
        <w:rPr>
          <w:lang w:val="en-US"/>
        </w:rPr>
        <w:t>Q</w:t>
      </w:r>
      <w:r>
        <w:rPr>
          <w:vertAlign w:val="subscript"/>
          <w:lang w:val="en-US"/>
        </w:rPr>
        <w:t>aśr</w:t>
      </w:r>
      <w:r>
        <w:rPr>
          <w:lang w:val="en-US"/>
        </w:rPr>
        <w:t xml:space="preserve"> = 0,6 × 341 = 205 m</w:t>
      </w:r>
      <w:r>
        <w:rPr>
          <w:vertAlign w:val="superscript"/>
          <w:lang w:val="en-US"/>
        </w:rPr>
        <w:t>3</w:t>
      </w:r>
      <w:r>
        <w:rPr>
          <w:lang w:val="en-US"/>
        </w:rPr>
        <w:t>/rok</w:t>
      </w:r>
    </w:p>
    <w:p>
      <w:pPr>
        <w:pStyle w:val="Normal"/>
        <w:rPr>
          <w:lang w:val="en-US"/>
        </w:rPr>
      </w:pPr>
      <w:r>
        <w:rPr>
          <w:lang w:val="en-US"/>
        </w:rPr>
      </w:r>
    </w:p>
    <w:p>
      <w:pPr>
        <w:pStyle w:val="Normal"/>
        <w:rPr>
          <w:u w:val="single"/>
        </w:rPr>
      </w:pPr>
      <w:r>
        <w:rPr>
          <w:u w:val="single"/>
        </w:rPr>
        <w:t>Utrzymanie czystości w pomieszczeniach</w:t>
      </w:r>
    </w:p>
    <w:p>
      <w:pPr>
        <w:pStyle w:val="Normal"/>
        <w:spacing w:before="0" w:after="120"/>
        <w:rPr/>
      </w:pPr>
      <w:r>
        <w:rPr/>
        <w:t>Wg „Wytycznych do programowania zapotrzebowania wody i ilości ścieków w miejskich jednostkach osadniczych” jednostkowe zużycie wody dla utrzymania czystości pomieszczeń (zmywania) wynosi 2 l/m</w:t>
      </w:r>
      <w:r>
        <w:rPr>
          <w:vertAlign w:val="superscript"/>
        </w:rPr>
        <w:t>2</w:t>
      </w:r>
      <w:r>
        <w:rPr/>
        <w:t>.  N</w:t>
      </w:r>
      <w:r>
        <w:rPr>
          <w:vertAlign w:val="subscript"/>
        </w:rPr>
        <w:t>d</w:t>
      </w:r>
      <w:r>
        <w:rPr/>
        <w:t xml:space="preserve"> = 2,4 ,  N</w:t>
      </w:r>
      <w:r>
        <w:rPr>
          <w:vertAlign w:val="subscript"/>
        </w:rPr>
        <w:t>h</w:t>
      </w:r>
      <w:r>
        <w:rPr/>
        <w:t xml:space="preserve"> = 1,50. Przy założeniu, że jednorazowo zmywaniu będzie poddawane 1000 m</w:t>
      </w:r>
      <w:r>
        <w:rPr>
          <w:vertAlign w:val="superscript"/>
        </w:rPr>
        <w:t>2</w:t>
      </w:r>
      <w:r>
        <w:rPr/>
        <w:t xml:space="preserve"> powierzchni (trzy mycia tygodniowo przez 50 tygodni w roku), zużycie wody wyniesie:</w:t>
      </w:r>
    </w:p>
    <w:p>
      <w:pPr>
        <w:pStyle w:val="Normal"/>
        <w:rPr/>
      </w:pPr>
      <w:r>
        <w:rPr/>
        <w:t>Q</w:t>
      </w:r>
      <w:r>
        <w:rPr>
          <w:vertAlign w:val="subscript"/>
        </w:rPr>
        <w:t>dśr</w:t>
      </w:r>
      <w:r>
        <w:rPr/>
        <w:t xml:space="preserve"> = 1000 × 2 dm</w:t>
      </w:r>
      <w:r>
        <w:rPr>
          <w:vertAlign w:val="superscript"/>
        </w:rPr>
        <w:t>3</w:t>
      </w:r>
      <w:r>
        <w:rPr/>
        <w:t xml:space="preserve"> = 2000 dm</w:t>
      </w:r>
      <w:r>
        <w:rPr>
          <w:vertAlign w:val="superscript"/>
        </w:rPr>
        <w:t>3</w:t>
      </w:r>
      <w:r>
        <w:rPr/>
        <w:t>/d</w:t>
      </w:r>
    </w:p>
    <w:p>
      <w:pPr>
        <w:pStyle w:val="Normal"/>
        <w:rPr>
          <w:vertAlign w:val="subscript"/>
        </w:rPr>
      </w:pPr>
      <w:r>
        <w:rPr/>
        <w:t>Q</w:t>
      </w:r>
      <w:r>
        <w:rPr>
          <w:vertAlign w:val="subscript"/>
        </w:rPr>
        <w:t>dmax</w:t>
      </w:r>
      <w:r>
        <w:rPr/>
        <w:t xml:space="preserve"> = Q</w:t>
      </w:r>
      <w:r>
        <w:rPr>
          <w:vertAlign w:val="subscript"/>
        </w:rPr>
        <w:t>dśr</w:t>
      </w:r>
      <w:r>
        <w:rPr/>
        <w:t xml:space="preserve"> × N</w:t>
      </w:r>
      <w:r>
        <w:rPr>
          <w:vertAlign w:val="subscript"/>
        </w:rPr>
        <w:t>d</w:t>
      </w:r>
    </w:p>
    <w:p>
      <w:pPr>
        <w:pStyle w:val="Normal"/>
        <w:rPr>
          <w:lang w:val="en-US"/>
        </w:rPr>
      </w:pPr>
      <w:r>
        <w:rPr>
          <w:lang w:val="en-US"/>
        </w:rPr>
        <w:t>Q</w:t>
      </w:r>
      <w:r>
        <w:rPr>
          <w:vertAlign w:val="subscript"/>
          <w:lang w:val="en-US"/>
        </w:rPr>
        <w:t xml:space="preserve">dmax  </w:t>
      </w:r>
      <w:r>
        <w:rPr>
          <w:lang w:val="en-US"/>
        </w:rPr>
        <w:t>= 2000 × 2,4 = 4800 dm</w:t>
      </w:r>
      <w:r>
        <w:rPr>
          <w:vertAlign w:val="superscript"/>
          <w:lang w:val="en-US"/>
        </w:rPr>
        <w:t>3</w:t>
      </w:r>
      <w:r>
        <w:rPr>
          <w:lang w:val="en-US"/>
        </w:rPr>
        <w:t>/d</w:t>
      </w:r>
    </w:p>
    <w:p>
      <w:pPr>
        <w:pStyle w:val="Normal"/>
        <w:rPr>
          <w:lang w:val="en-US"/>
        </w:rPr>
      </w:pPr>
      <w:r>
        <w:rPr>
          <w:lang w:val="en-US"/>
        </w:rPr>
        <w:t>Q</w:t>
      </w:r>
      <w:r>
        <w:rPr>
          <w:vertAlign w:val="subscript"/>
          <w:lang w:val="en-US"/>
        </w:rPr>
        <w:t>hśr</w:t>
      </w:r>
      <w:r>
        <w:rPr>
          <w:lang w:val="en-US"/>
        </w:rPr>
        <w:t xml:space="preserve"> = 2400 l/d / 8 = 600 dm</w:t>
      </w:r>
      <w:r>
        <w:rPr>
          <w:vertAlign w:val="superscript"/>
          <w:lang w:val="en-US"/>
        </w:rPr>
        <w:t>3</w:t>
      </w:r>
      <w:r>
        <w:rPr>
          <w:lang w:val="en-US"/>
        </w:rPr>
        <w:t>/h</w:t>
      </w:r>
    </w:p>
    <w:p>
      <w:pPr>
        <w:pStyle w:val="Normal"/>
        <w:rPr>
          <w:lang w:val="en-US"/>
        </w:rPr>
      </w:pPr>
      <w:r>
        <w:rPr>
          <w:lang w:val="en-US"/>
        </w:rPr>
        <w:t>Q</w:t>
      </w:r>
      <w:r>
        <w:rPr>
          <w:vertAlign w:val="subscript"/>
          <w:lang w:val="en-US"/>
        </w:rPr>
        <w:t xml:space="preserve">hmax </w:t>
      </w:r>
      <w:r>
        <w:rPr>
          <w:lang w:val="en-US"/>
        </w:rPr>
        <w:t>= 600 l/h × 1,5 = 900 dm</w:t>
      </w:r>
      <w:r>
        <w:rPr>
          <w:vertAlign w:val="superscript"/>
          <w:lang w:val="en-US"/>
        </w:rPr>
        <w:t>3</w:t>
      </w:r>
      <w:r>
        <w:rPr>
          <w:lang w:val="en-US"/>
        </w:rPr>
        <w:t>/h</w:t>
      </w:r>
    </w:p>
    <w:p>
      <w:pPr>
        <w:pStyle w:val="Normal"/>
        <w:rPr>
          <w:lang w:val="en-US"/>
        </w:rPr>
      </w:pPr>
      <w:r>
        <w:rPr>
          <w:lang w:val="en-US"/>
        </w:rPr>
        <w:t>Q</w:t>
      </w:r>
      <w:r>
        <w:rPr>
          <w:vertAlign w:val="subscript"/>
          <w:lang w:val="en-US"/>
        </w:rPr>
        <w:t>aśr</w:t>
      </w:r>
      <w:r>
        <w:rPr>
          <w:lang w:val="en-US"/>
        </w:rPr>
        <w:t xml:space="preserve"> = 2000 × 3 × 50 = 300 m</w:t>
      </w:r>
      <w:r>
        <w:rPr>
          <w:vertAlign w:val="superscript"/>
          <w:lang w:val="en-US"/>
        </w:rPr>
        <w:t>3</w:t>
      </w:r>
      <w:r>
        <w:rPr>
          <w:lang w:val="en-US"/>
        </w:rPr>
        <w:t>/a</w:t>
      </w:r>
    </w:p>
    <w:p>
      <w:pPr>
        <w:pStyle w:val="Normal"/>
        <w:rPr>
          <w:lang w:val="en-US"/>
        </w:rPr>
      </w:pPr>
      <w:r>
        <w:rPr>
          <w:lang w:val="en-US"/>
        </w:rPr>
      </w:r>
    </w:p>
    <w:p>
      <w:pPr>
        <w:pStyle w:val="Normal"/>
        <w:rPr>
          <w:u w:val="single"/>
        </w:rPr>
      </w:pPr>
      <w:r>
        <w:rPr>
          <w:u w:val="single"/>
        </w:rPr>
        <w:t>Zapotrzebowanie do celów technologicznych:</w:t>
      </w:r>
    </w:p>
    <w:p>
      <w:pPr>
        <w:pStyle w:val="Normal"/>
        <w:rPr/>
      </w:pPr>
      <w:r>
        <w:rPr/>
        <w:t>Woda do celów technologicznych będzie wykorzystywana do:</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nawilżania spalin w procesie ich oczyszczania (zakładane zużycie 0,033 m</w:t>
      </w:r>
      <w:r>
        <w:rPr>
          <w:rFonts w:cs="Times New Roman" w:ascii="Times New Roman" w:hAnsi="Times New Roman"/>
          <w:sz w:val="24"/>
          <w:szCs w:val="24"/>
          <w:vertAlign w:val="superscript"/>
        </w:rPr>
        <w:t>3</w:t>
      </w:r>
      <w:r>
        <w:rPr>
          <w:rFonts w:cs="Times New Roman" w:ascii="Times New Roman" w:hAnsi="Times New Roman"/>
          <w:sz w:val="24"/>
          <w:szCs w:val="24"/>
        </w:rPr>
        <w:t>/h, praca 8200 godzin),</w:t>
      </w:r>
    </w:p>
    <w:p>
      <w:pPr>
        <w:pStyle w:val="PlainText"/>
        <w:numPr>
          <w:ilvl w:val="0"/>
          <w:numId w:val="56"/>
        </w:numPr>
        <w:spacing w:before="0" w:after="120"/>
        <w:ind w:left="709" w:hanging="312"/>
        <w:jc w:val="both"/>
        <w:rPr>
          <w:rFonts w:ascii="Times New Roman" w:hAnsi="Times New Roman" w:cs="Times New Roman"/>
          <w:sz w:val="24"/>
          <w:szCs w:val="24"/>
        </w:rPr>
      </w:pPr>
      <w:r>
        <w:rPr>
          <w:rFonts w:cs="Times New Roman" w:ascii="Times New Roman" w:hAnsi="Times New Roman"/>
          <w:sz w:val="24"/>
          <w:szCs w:val="24"/>
        </w:rPr>
        <w:t>związanych</w:t>
      </w:r>
      <w:r>
        <w:rPr>
          <w:rFonts w:ascii="Times New Roman" w:hAnsi="Times New Roman"/>
          <w:sz w:val="24"/>
        </w:rPr>
        <w:t xml:space="preserve"> z uzupełnianiem obiegu wody w mokrym odżużlaczu pod piecem rusztowym (zużycie 0,04 m</w:t>
      </w:r>
      <w:r>
        <w:rPr>
          <w:rFonts w:ascii="Times New Roman" w:hAnsi="Times New Roman"/>
          <w:sz w:val="24"/>
          <w:vertAlign w:val="superscript"/>
        </w:rPr>
        <w:t>3</w:t>
      </w:r>
      <w:r>
        <w:rPr>
          <w:rFonts w:ascii="Times New Roman" w:hAnsi="Times New Roman"/>
          <w:sz w:val="24"/>
        </w:rPr>
        <w:t>/h, praca 8200 h/rocznie).</w:t>
      </w:r>
    </w:p>
    <w:p>
      <w:pPr>
        <w:pStyle w:val="Normal"/>
        <w:rPr/>
      </w:pPr>
      <w:r>
        <w:rPr/>
        <w:t>Q</w:t>
      </w:r>
      <w:r>
        <w:rPr>
          <w:vertAlign w:val="subscript"/>
        </w:rPr>
        <w:t>hśr</w:t>
      </w:r>
      <w:r>
        <w:rPr/>
        <w:t xml:space="preserve"> = Q</w:t>
      </w:r>
      <w:r>
        <w:rPr>
          <w:vertAlign w:val="subscript"/>
        </w:rPr>
        <w:t>hmax</w:t>
      </w:r>
      <w:r>
        <w:rPr/>
        <w:t xml:space="preserve"> = 33 dm</w:t>
      </w:r>
      <w:r>
        <w:rPr>
          <w:vertAlign w:val="superscript"/>
        </w:rPr>
        <w:t>3</w:t>
      </w:r>
      <w:r>
        <w:rPr/>
        <w:t>/h + 40 dm</w:t>
      </w:r>
      <w:r>
        <w:rPr>
          <w:vertAlign w:val="superscript"/>
        </w:rPr>
        <w:t>3</w:t>
      </w:r>
      <w:r>
        <w:rPr/>
        <w:t>/h = 73 dm</w:t>
      </w:r>
      <w:r>
        <w:rPr>
          <w:vertAlign w:val="superscript"/>
        </w:rPr>
        <w:t>3</w:t>
      </w:r>
      <w:r>
        <w:rPr/>
        <w:t>/h = 0,073 m</w:t>
      </w:r>
      <w:r>
        <w:rPr>
          <w:vertAlign w:val="superscript"/>
        </w:rPr>
        <w:t>3</w:t>
      </w:r>
      <w:r>
        <w:rPr/>
        <w:t>/h</w:t>
      </w:r>
    </w:p>
    <w:p>
      <w:pPr>
        <w:pStyle w:val="NormalWeb"/>
        <w:spacing w:beforeAutospacing="0" w:before="0" w:afterAutospacing="0" w:after="120"/>
        <w:rPr/>
      </w:pPr>
      <w:r>
        <w:rPr/>
        <w:t>Q</w:t>
      </w:r>
      <w:r>
        <w:rPr>
          <w:vertAlign w:val="subscript"/>
        </w:rPr>
        <w:t>aśr</w:t>
      </w:r>
      <w:r>
        <w:rPr/>
        <w:t xml:space="preserve"> = 0,073 m</w:t>
      </w:r>
      <w:r>
        <w:rPr>
          <w:vertAlign w:val="superscript"/>
        </w:rPr>
        <w:t>3</w:t>
      </w:r>
      <w:r>
        <w:rPr/>
        <w:t>/h × 8200 h = 599 m</w:t>
      </w:r>
      <w:r>
        <w:rPr>
          <w:vertAlign w:val="superscript"/>
        </w:rPr>
        <w:t>3</w:t>
      </w:r>
    </w:p>
    <w:p>
      <w:pPr>
        <w:pStyle w:val="Normal"/>
        <w:rPr/>
      </w:pPr>
      <w:r>
        <w:rPr/>
        <w:t>Nie przewiduje się poboru własnego do uzupełniania obiegu grzewczego kotła wodnego. Za uzupełnianie wody będzie odpowiadał operator sieci ciepłowniczej, który będzie doprowadzał nośnik energii – wodę – do instalacji w celu jej podgrzania.</w:t>
      </w:r>
    </w:p>
    <w:p>
      <w:pPr>
        <w:pStyle w:val="Normal"/>
        <w:rPr/>
      </w:pPr>
      <w:r>
        <w:rPr/>
        <w:t>Całkowite roczne zapotrzebowanie na wodę na potrzeby zakładu wyniesie 1104 m</w:t>
      </w:r>
      <w:r>
        <w:rPr>
          <w:vertAlign w:val="superscript"/>
        </w:rPr>
        <w:t>3</w:t>
      </w:r>
      <w:r>
        <w:rPr/>
        <w:t>.</w:t>
      </w:r>
    </w:p>
    <w:p>
      <w:pPr>
        <w:pStyle w:val="Normal"/>
        <w:rPr/>
      </w:pPr>
      <w:bookmarkStart w:id="87" w:name="_Toc229762651"/>
      <w:bookmarkStart w:id="88" w:name="_Toc229762083"/>
      <w:bookmarkStart w:id="89" w:name="_Toc229759456"/>
      <w:bookmarkStart w:id="90" w:name="_Toc229759404"/>
      <w:bookmarkStart w:id="91" w:name="_Toc229759349"/>
      <w:bookmarkStart w:id="92" w:name="_Toc229759213"/>
      <w:bookmarkStart w:id="93" w:name="_Toc229732222"/>
      <w:bookmarkStart w:id="94" w:name="_Toc229762651"/>
      <w:bookmarkStart w:id="95" w:name="_Toc229762083"/>
      <w:bookmarkStart w:id="96" w:name="_Toc229759456"/>
      <w:bookmarkStart w:id="97" w:name="_Toc229759404"/>
      <w:bookmarkStart w:id="98" w:name="_Toc229759349"/>
      <w:bookmarkStart w:id="99" w:name="_Toc229759213"/>
      <w:bookmarkStart w:id="100" w:name="_Toc229732222"/>
      <w:bookmarkEnd w:id="94"/>
      <w:bookmarkEnd w:id="95"/>
      <w:bookmarkEnd w:id="96"/>
      <w:bookmarkEnd w:id="97"/>
      <w:bookmarkEnd w:id="98"/>
      <w:bookmarkEnd w:id="99"/>
      <w:bookmarkEnd w:id="100"/>
      <w:r>
        <w:rPr/>
      </w:r>
    </w:p>
    <w:p>
      <w:pPr>
        <w:pStyle w:val="Nagwek4"/>
        <w:numPr>
          <w:ilvl w:val="3"/>
          <w:numId w:val="2"/>
        </w:numPr>
        <w:ind w:hanging="992"/>
        <w:rPr/>
      </w:pPr>
      <w:r>
        <w:rPr/>
        <w:t>Odprowadzanie ścieków i wód opadowych</w:t>
      </w:r>
    </w:p>
    <w:p>
      <w:pPr>
        <w:pStyle w:val="Normal"/>
        <w:rPr/>
      </w:pPr>
      <w:r>
        <w:rPr/>
        <w:t xml:space="preserve">W związku z eksploatacją instalacji będą powstawały: </w:t>
      </w:r>
    </w:p>
    <w:p>
      <w:pPr>
        <w:pStyle w:val="Normal"/>
        <w:numPr>
          <w:ilvl w:val="0"/>
          <w:numId w:val="55"/>
        </w:numPr>
        <w:ind w:left="714" w:hanging="357"/>
        <w:rPr/>
      </w:pPr>
      <w:r>
        <w:rPr/>
        <w:t xml:space="preserve">ścieki bytowe związane z przebywaniem pracowników i osób zewnętrznych, </w:t>
      </w:r>
    </w:p>
    <w:p>
      <w:pPr>
        <w:pStyle w:val="Normal"/>
        <w:numPr>
          <w:ilvl w:val="0"/>
          <w:numId w:val="55"/>
        </w:numPr>
        <w:ind w:left="714" w:hanging="357"/>
        <w:rPr/>
      </w:pPr>
      <w:r>
        <w:rPr/>
        <w:t>ścieki przemysłowe z mycia powierzchni, w tym z okresowego mycia urządzeń technicznych (odżużlacz, lej zasypowy itp.), ścieki te mogą zawierać substancje niebezpieczne, szkodliwe dla środowiska wodnego,</w:t>
      </w:r>
    </w:p>
    <w:p>
      <w:pPr>
        <w:pStyle w:val="Normal"/>
        <w:numPr>
          <w:ilvl w:val="0"/>
          <w:numId w:val="55"/>
        </w:numPr>
        <w:ind w:left="714" w:hanging="357"/>
        <w:rPr/>
      </w:pPr>
      <w:r>
        <w:rPr/>
        <w:t>wody opadowe lub roztopowe z dachów i terenu utwardzonego.</w:t>
      </w:r>
    </w:p>
    <w:p>
      <w:pPr>
        <w:pStyle w:val="Normal"/>
        <w:rPr/>
      </w:pPr>
      <w:r>
        <w:rPr/>
        <w:t>W omawianej lokalizacji istnieje kanalizacja sanitarna oraz istnieje możliwość podłączenia do kanalizacji miejskiej. Ścieki socjalno – bytowe oraz ścieki z mycia powierzchni będą odprowadzane do kanalizacji miejskiej MPWiK Sp. z o.o.</w:t>
      </w:r>
    </w:p>
    <w:p>
      <w:pPr>
        <w:pStyle w:val="Normal"/>
        <w:rPr/>
      </w:pPr>
      <w:r>
        <w:rPr/>
        <w:t xml:space="preserve">Ilość powstających ścieków bytowych została określona na podstawie norm zużycia wody określonych w rozporządzeniu Ministra Infrastruktury z dnia 14 stycznia 2002 r. </w:t>
      </w:r>
      <w:r>
        <w:rPr>
          <w:i/>
        </w:rPr>
        <w:t xml:space="preserve">w sprawie określenia przeciętnych norm zużycia wody </w:t>
      </w:r>
      <w:r>
        <w:rPr/>
        <w:t xml:space="preserve">(Dz.U.2002.8.70). </w:t>
      </w:r>
    </w:p>
    <w:p>
      <w:pPr>
        <w:pStyle w:val="Normal"/>
        <w:spacing w:before="120" w:after="0"/>
        <w:rPr/>
      </w:pPr>
      <w:r>
        <w:rPr/>
        <w:t>Q</w:t>
      </w:r>
      <w:r>
        <w:rPr>
          <w:vertAlign w:val="subscript"/>
        </w:rPr>
        <w:t xml:space="preserve">śrd </w:t>
      </w:r>
      <w:r>
        <w:rPr/>
        <w:t>= 10 osób × 0,060 m</w:t>
      </w:r>
      <w:r>
        <w:rPr>
          <w:vertAlign w:val="superscript"/>
        </w:rPr>
        <w:t>3</w:t>
      </w:r>
      <w:r>
        <w:rPr/>
        <w:t>/os. × dobę = 0,6 m</w:t>
      </w:r>
      <w:r>
        <w:rPr>
          <w:vertAlign w:val="superscript"/>
        </w:rPr>
        <w:t>3</w:t>
      </w:r>
      <w:r>
        <w:rPr/>
        <w:t xml:space="preserve">/d </w:t>
      </w:r>
    </w:p>
    <w:p>
      <w:pPr>
        <w:pStyle w:val="Normal"/>
        <w:rPr/>
      </w:pPr>
      <w:r>
        <w:rPr/>
        <w:t>czyli około 205 m</w:t>
      </w:r>
      <w:r>
        <w:rPr>
          <w:vertAlign w:val="superscript"/>
        </w:rPr>
        <w:t>3</w:t>
      </w:r>
      <w:r>
        <w:rPr/>
        <w:t xml:space="preserve">/rok </w:t>
      </w:r>
    </w:p>
    <w:p>
      <w:pPr>
        <w:pStyle w:val="Normal"/>
        <w:spacing w:before="120" w:after="0"/>
        <w:rPr/>
      </w:pPr>
      <w:r>
        <w:rPr/>
        <w:t>Ilość ścieków przemysłowych z mycia powierzchni określono na około 300 m</w:t>
      </w:r>
      <w:r>
        <w:rPr>
          <w:vertAlign w:val="superscript"/>
        </w:rPr>
        <w:t>3</w:t>
      </w:r>
      <w:r>
        <w:rPr/>
        <w:t xml:space="preserve"> na rok. W przypadku ścieków z mycia powierzchni i okresowego mycia urządzeń najprawdopodobniej zachodzi konieczność uzyskania pozwolenia wodnoprawnego na wprowadzanie ścieków przemysłowych zawierających substancje szczególnie szkodliwe dla środowiska wodnego do kanalizacji innego podmiotu.</w:t>
      </w:r>
    </w:p>
    <w:p>
      <w:pPr>
        <w:pStyle w:val="Normal"/>
        <w:rPr/>
      </w:pPr>
      <w:r>
        <w:rPr/>
        <w:t xml:space="preserve">Skład ścieków przemysłowych z mycia powierzchni oraz okresowego mycia urządzeń technicznych mogą zawierać substancje szczególnie szkodliwe dla środowiska wodnego określone w rozporządzeniu Ministra Środowiska z dnia 15 grudnia 2008 r. </w:t>
      </w:r>
      <w:r>
        <w:rPr>
          <w:i/>
        </w:rPr>
        <w:t xml:space="preserve">w sprawie substancji szczególnie szkodliwych dla środowiska wodnego, których wprowadzenie w ściekach przemysłowych do urządzeń kanalizacyjnych wymaga uzyskania pozwolenia wodnoprawnego </w:t>
      </w:r>
      <w:r>
        <w:rPr/>
        <w:t xml:space="preserve">(Dz.U.2008.229.1538). Spośród substancji szczególnie szkodliwych wymienionych w rozporządzeniu ścieki te mogą zawierać substancje biogenne (głównie fosfor) pochodzące ze środków myjących, a także substancje ropopochodne z maszyn oraz niebezpieczne składniki popiołów paleniskowych. W załączniku nr 4 przedstawiono skład chemiczny popiołów paleniskowych. Wynika z niego, że są to odpady, które zawierają metale ciężkie w ilości, która nie powoduje ich zaklasyfikowania jako odpadów niebezpiecznych (brak stężeń powodujących właściwości niebezpiecznych). Zawartość metali w suchej masie wynosi zaledwie około 0,6%. Podczas mycia, niebezpieczne składniki mogą się znaleźć w ściekach w stężeniach nie przekraczających stężeń określonych w rozporządzeniu Ministra Środowiska z dnia 27 lipca 2004 r. </w:t>
      </w:r>
      <w:r>
        <w:rPr>
          <w:i/>
        </w:rPr>
        <w:t>w sprawie dopuszczalnych mas substancji, które mogą być odprowadzane w ściekach przemysłowych</w:t>
      </w:r>
      <w:r>
        <w:rPr/>
        <w:t xml:space="preserve"> (Dz.U.2004.180.1867) oraz </w:t>
      </w:r>
      <w:r>
        <w:rPr>
          <w:i/>
        </w:rPr>
        <w:t>r</w:t>
      </w:r>
      <w:r>
        <w:rPr>
          <w:i/>
          <w:color w:val="00000A"/>
          <w:szCs w:val="24"/>
        </w:rPr>
        <w:t>ozporządzeniu Ministra Budownictwa z dnia 14 lipca 2006 r. w sprawie sposobu realizacji obowiązków dostawców ścieków przemysłowych oraz warunków wprowadzania ścieków do urządzeń kanalizacyjnych</w:t>
      </w:r>
      <w:r>
        <w:rPr>
          <w:color w:val="00000A"/>
          <w:szCs w:val="24"/>
        </w:rPr>
        <w:t xml:space="preserve"> </w:t>
      </w:r>
      <w:r>
        <w:rPr>
          <w:szCs w:val="24"/>
        </w:rPr>
        <w:t>(Dz.U.2016.1757)</w:t>
      </w:r>
      <w:r>
        <w:rPr/>
        <w:t>.</w:t>
      </w:r>
    </w:p>
    <w:p>
      <w:pPr>
        <w:pStyle w:val="Normal"/>
        <w:rPr/>
      </w:pPr>
      <w:r>
        <w:rPr/>
        <w:t>W celu określenia konieczności uzyskania pozwolenia wodnoprawnego na wprowadzanie ścieków przemysłowych zawierających substancje szczególnie szkodliwe dla środowiska wodnego do kanalizacji innego podmiotu Inwestor zostanie zobligowany do wykonywania okresowych pomiarów jakości odprowadzanych ścieków (dwa lub cztery razy w roku). Szczegółowe wymagania dotyczące jakości ścieków wprowadzanych do kanalizacji zostaną sprecyzowane w umowie z MPWiK Sp. z o.o.</w:t>
      </w:r>
    </w:p>
    <w:p>
      <w:pPr>
        <w:pStyle w:val="Normal"/>
        <w:rPr/>
      </w:pPr>
      <w:r>
        <w:rPr/>
      </w:r>
    </w:p>
    <w:p>
      <w:pPr>
        <w:pStyle w:val="Normal"/>
        <w:rPr/>
      </w:pPr>
      <w:r>
        <w:rPr/>
        <w:t xml:space="preserve">Wody opadowe lub roztopowe z dachów będą gromadzone w zbiorniku bezodpływowym i wykorzystywane w sezonie wegetacyjnym do podlewania zieleni. Nadmiar wód będzie kierowany bez oczyszczenia do miejskiej kanalizacji deszczowej. Wody opadowe lub roztopowe z dróg i placów manewrowych będą podczyszczane w separatorze substancji ropopochodnych z osadnikiem, a następnie odprowadzane do miejskiej kanalizacji deszczowej. W chwili obecnej teren zakładu nie jest podłączony do sieci kanalizacji deszczowej. Najbliższy kolektor deszczowy, do którego możliwe będzie odprowadzanie wody z terenu zakładu znajduje się w odległości około 60 m na północ. W ramach przedsięwzięcia planowana jest budowa systemu i brakującego odcinka kolektora. </w:t>
      </w:r>
    </w:p>
    <w:p>
      <w:pPr>
        <w:pStyle w:val="Normal"/>
        <w:rPr/>
      </w:pPr>
      <w:r>
        <w:rPr/>
        <w:t>Ilość wód opadowych lub roztopowych ze zlewni obliczono poniższym wzorem:</w:t>
      </w:r>
    </w:p>
    <w:p>
      <w:pPr>
        <w:pStyle w:val="Normal"/>
        <w:spacing w:before="120" w:after="120"/>
        <w:ind w:hanging="0"/>
        <w:rPr/>
      </w:pPr>
      <w:r>
        <w:rPr/>
        <w:t>Q = F</w:t>
      </w:r>
      <w:r>
        <w:rPr>
          <w:vertAlign w:val="subscript"/>
        </w:rPr>
        <w:t>ZR</w:t>
      </w:r>
      <w:r>
        <w:rPr/>
        <w:t xml:space="preserve"> × q × φ [dm</w:t>
      </w:r>
      <w:r>
        <w:rPr>
          <w:vertAlign w:val="superscript"/>
        </w:rPr>
        <w:t>3</w:t>
      </w:r>
      <w:r>
        <w:rPr/>
        <w:t>/s]</w:t>
      </w:r>
    </w:p>
    <w:p>
      <w:pPr>
        <w:pStyle w:val="BodyText2"/>
        <w:ind w:hanging="0"/>
        <w:rPr>
          <w:sz w:val="20"/>
        </w:rPr>
      </w:pPr>
      <w:r>
        <w:rPr>
          <w:sz w:val="20"/>
        </w:rPr>
        <w:t>gdzie:</w:t>
      </w:r>
    </w:p>
    <w:p>
      <w:pPr>
        <w:pStyle w:val="BodyText2"/>
        <w:ind w:hanging="0"/>
        <w:rPr>
          <w:sz w:val="20"/>
        </w:rPr>
      </w:pPr>
      <w:r>
        <w:rPr>
          <w:sz w:val="20"/>
        </w:rPr>
        <w:t>Q – ilość wód opadowych ze zlewni</w:t>
      </w:r>
    </w:p>
    <w:p>
      <w:pPr>
        <w:pStyle w:val="BodyText2"/>
        <w:ind w:hanging="0"/>
        <w:rPr>
          <w:sz w:val="20"/>
        </w:rPr>
      </w:pPr>
      <w:r>
        <w:rPr>
          <w:sz w:val="20"/>
        </w:rPr>
        <w:t>F</w:t>
      </w:r>
      <w:r>
        <w:rPr>
          <w:sz w:val="20"/>
          <w:vertAlign w:val="subscript"/>
        </w:rPr>
        <w:t>ZR</w:t>
      </w:r>
      <w:r>
        <w:rPr>
          <w:sz w:val="20"/>
        </w:rPr>
        <w:t xml:space="preserve"> – powierzchnia zredukowana obliczona wg wzoru:</w:t>
      </w:r>
    </w:p>
    <w:p>
      <w:pPr>
        <w:pStyle w:val="BodyText2"/>
        <w:ind w:hanging="0"/>
        <w:rPr>
          <w:bCs/>
          <w:sz w:val="20"/>
        </w:rPr>
      </w:pPr>
      <w:r>
        <w:rPr>
          <w:sz w:val="20"/>
        </w:rPr>
        <w:t>F</w:t>
      </w:r>
      <w:r>
        <w:rPr>
          <w:sz w:val="20"/>
          <w:vertAlign w:val="subscript"/>
        </w:rPr>
        <w:t>ZR</w:t>
      </w:r>
      <w:r>
        <w:rPr>
          <w:sz w:val="20"/>
        </w:rPr>
        <w:t xml:space="preserve"> = F</w:t>
      </w:r>
      <w:r>
        <w:rPr>
          <w:sz w:val="20"/>
          <w:vertAlign w:val="subscript"/>
        </w:rPr>
        <w:t>1</w:t>
      </w:r>
      <w:r>
        <w:rPr>
          <w:sz w:val="20"/>
        </w:rPr>
        <w:t xml:space="preserve"> × Ψ</w:t>
      </w:r>
      <w:r>
        <w:rPr>
          <w:sz w:val="20"/>
          <w:vertAlign w:val="subscript"/>
        </w:rPr>
        <w:t>1</w:t>
      </w:r>
      <w:r>
        <w:rPr>
          <w:sz w:val="20"/>
        </w:rPr>
        <w:t xml:space="preserve"> + F</w:t>
      </w:r>
      <w:r>
        <w:rPr>
          <w:sz w:val="20"/>
          <w:vertAlign w:val="subscript"/>
        </w:rPr>
        <w:t>2</w:t>
      </w:r>
      <w:r>
        <w:rPr>
          <w:sz w:val="20"/>
        </w:rPr>
        <w:t xml:space="preserve"> × Ψ</w:t>
      </w:r>
      <w:r>
        <w:rPr>
          <w:sz w:val="20"/>
          <w:vertAlign w:val="subscript"/>
        </w:rPr>
        <w:t>2</w:t>
      </w:r>
    </w:p>
    <w:p>
      <w:pPr>
        <w:pStyle w:val="BodyText2"/>
        <w:ind w:hanging="0"/>
        <w:rPr>
          <w:bCs/>
          <w:sz w:val="20"/>
        </w:rPr>
      </w:pPr>
      <w:r>
        <w:rPr>
          <w:sz w:val="20"/>
        </w:rPr>
        <w:t>przy założeniu:</w:t>
      </w:r>
    </w:p>
    <w:p>
      <w:pPr>
        <w:pStyle w:val="BodyText2"/>
        <w:ind w:hanging="0"/>
        <w:rPr>
          <w:sz w:val="20"/>
        </w:rPr>
      </w:pPr>
      <w:r>
        <w:rPr>
          <w:sz w:val="20"/>
        </w:rPr>
        <w:t>F</w:t>
      </w:r>
      <w:r>
        <w:rPr>
          <w:sz w:val="20"/>
          <w:vertAlign w:val="subscript"/>
        </w:rPr>
        <w:t>1</w:t>
      </w:r>
      <w:r>
        <w:rPr>
          <w:sz w:val="20"/>
        </w:rPr>
        <w:t xml:space="preserve"> – powierzchnia dróg i placów – 2204 m</w:t>
      </w:r>
      <w:r>
        <w:rPr>
          <w:sz w:val="20"/>
          <w:vertAlign w:val="superscript"/>
        </w:rPr>
        <w:t>2</w:t>
      </w:r>
      <w:r>
        <w:rPr>
          <w:sz w:val="20"/>
        </w:rPr>
        <w:t xml:space="preserve"> </w:t>
      </w:r>
    </w:p>
    <w:p>
      <w:pPr>
        <w:pStyle w:val="BodyText2"/>
        <w:ind w:hanging="0"/>
        <w:rPr>
          <w:sz w:val="20"/>
        </w:rPr>
      </w:pPr>
      <w:r>
        <w:rPr>
          <w:sz w:val="20"/>
        </w:rPr>
        <w:t>Ψ</w:t>
      </w:r>
      <w:r>
        <w:rPr>
          <w:sz w:val="20"/>
          <w:vertAlign w:val="subscript"/>
        </w:rPr>
        <w:t>1</w:t>
      </w:r>
      <w:r>
        <w:rPr>
          <w:sz w:val="20"/>
        </w:rPr>
        <w:t xml:space="preserve"> – współczynnik spływu z dróg i placów – 0,85 </w:t>
      </w:r>
    </w:p>
    <w:p>
      <w:pPr>
        <w:pStyle w:val="BodyText2"/>
        <w:ind w:hanging="0"/>
        <w:rPr>
          <w:sz w:val="20"/>
        </w:rPr>
      </w:pPr>
      <w:r>
        <w:rPr>
          <w:sz w:val="20"/>
        </w:rPr>
        <w:t>F</w:t>
      </w:r>
      <w:r>
        <w:rPr>
          <w:sz w:val="20"/>
          <w:vertAlign w:val="subscript"/>
        </w:rPr>
        <w:t>2</w:t>
      </w:r>
      <w:r>
        <w:rPr>
          <w:sz w:val="20"/>
        </w:rPr>
        <w:t xml:space="preserve"> – powierzchnia dachów – 1832 m</w:t>
      </w:r>
      <w:r>
        <w:rPr>
          <w:sz w:val="20"/>
          <w:vertAlign w:val="superscript"/>
        </w:rPr>
        <w:t>2</w:t>
      </w:r>
      <w:r>
        <w:rPr>
          <w:sz w:val="20"/>
        </w:rPr>
        <w:t xml:space="preserve"> </w:t>
      </w:r>
    </w:p>
    <w:p>
      <w:pPr>
        <w:pStyle w:val="BodyText2"/>
        <w:ind w:hanging="0"/>
        <w:rPr>
          <w:sz w:val="20"/>
        </w:rPr>
      </w:pPr>
      <w:r>
        <w:rPr>
          <w:sz w:val="20"/>
        </w:rPr>
        <w:t>Ψ</w:t>
      </w:r>
      <w:r>
        <w:rPr>
          <w:sz w:val="20"/>
          <w:vertAlign w:val="subscript"/>
        </w:rPr>
        <w:t>2</w:t>
      </w:r>
      <w:r>
        <w:rPr>
          <w:sz w:val="20"/>
        </w:rPr>
        <w:t xml:space="preserve"> – współczynnik spływu z dachów – 0,8 </w:t>
      </w:r>
    </w:p>
    <w:p>
      <w:pPr>
        <w:pStyle w:val="BodyText2"/>
        <w:ind w:hanging="0"/>
        <w:rPr>
          <w:sz w:val="20"/>
        </w:rPr>
      </w:pPr>
      <w:r>
        <w:rPr>
          <w:sz w:val="20"/>
        </w:rPr>
        <w:t>φ – współczynnik opóźnienia – 1</w:t>
      </w:r>
    </w:p>
    <w:p>
      <w:pPr>
        <w:pStyle w:val="Normal"/>
        <w:numPr>
          <w:ilvl w:val="0"/>
          <w:numId w:val="0"/>
        </w:numPr>
        <w:ind w:firstLine="397"/>
        <w:rPr>
          <w:sz w:val="20"/>
        </w:rPr>
      </w:pPr>
      <w:r>
        <w:rPr>
          <w:sz w:val="20"/>
        </w:rPr>
        <w:t xml:space="preserve">q – natężenie deszczu miarodajnego </w:t>
      </w:r>
    </w:p>
    <w:p>
      <w:pPr>
        <w:pStyle w:val="Normal"/>
        <w:numPr>
          <w:ilvl w:val="0"/>
          <w:numId w:val="0"/>
        </w:numPr>
        <w:ind w:firstLine="397"/>
        <w:rPr/>
      </w:pPr>
      <w:r>
        <w:rPr/>
      </w:r>
    </w:p>
    <w:p>
      <w:pPr>
        <w:pStyle w:val="Normal"/>
        <w:numPr>
          <w:ilvl w:val="0"/>
          <w:numId w:val="0"/>
        </w:numPr>
        <w:ind w:firstLine="397"/>
        <w:rPr>
          <w:szCs w:val="24"/>
        </w:rPr>
      </w:pPr>
      <w:r>
        <w:rPr>
          <w:szCs w:val="24"/>
        </w:rPr>
        <w:t>Natężenie deszczu miarodajnego o prawdopodobieństwie p = 20%, częstotliwość C = 2 lata, czas trwania t = 15 min, roczna wysokość opadu 806 mm</w:t>
      </w:r>
    </w:p>
    <w:p>
      <w:pPr>
        <w:pStyle w:val="Footnotetext"/>
        <w:spacing w:before="120" w:after="0"/>
        <w:ind w:hanging="0"/>
        <w:rPr>
          <w:sz w:val="24"/>
          <w:szCs w:val="24"/>
        </w:rPr>
      </w:pPr>
      <w:r>
        <w:rPr>
          <w:sz w:val="24"/>
          <w:szCs w:val="24"/>
        </w:rPr>
        <w:t>q =  187,83 l/s ha</w:t>
      </w:r>
    </w:p>
    <w:p>
      <w:pPr>
        <w:pStyle w:val="Footnotetext"/>
        <w:spacing w:before="120" w:after="0"/>
        <w:ind w:hanging="0"/>
        <w:rPr>
          <w:sz w:val="24"/>
          <w:szCs w:val="24"/>
        </w:rPr>
      </w:pPr>
      <w:r>
        <w:rPr>
          <w:sz w:val="24"/>
          <w:szCs w:val="24"/>
        </w:rPr>
        <w:t>Q = (0,18734 + 0,14656) × 187,8 × 1 = 62,71 dm</w:t>
      </w:r>
      <w:r>
        <w:rPr>
          <w:sz w:val="24"/>
          <w:szCs w:val="24"/>
          <w:vertAlign w:val="superscript"/>
        </w:rPr>
        <w:t>3</w:t>
      </w:r>
      <w:r>
        <w:rPr>
          <w:sz w:val="24"/>
          <w:szCs w:val="24"/>
        </w:rPr>
        <w:t>/s</w:t>
      </w:r>
    </w:p>
    <w:p>
      <w:pPr>
        <w:pStyle w:val="Normal"/>
        <w:spacing w:before="120" w:after="0"/>
        <w:rPr/>
      </w:pPr>
      <w:r>
        <w:rPr/>
        <w:t>Maksymalną roczną objętość odpływu wód opadowych ze zlewni wyznaczano w następujący sposób:</w:t>
      </w:r>
    </w:p>
    <w:p>
      <w:pPr>
        <w:pStyle w:val="Footnotetext"/>
        <w:spacing w:before="120" w:after="120"/>
        <w:ind w:hanging="0"/>
        <w:rPr>
          <w:sz w:val="24"/>
          <w:lang w:val="en-US"/>
        </w:rPr>
      </w:pPr>
      <w:r>
        <w:rPr>
          <w:sz w:val="24"/>
          <w:lang w:val="en-US"/>
        </w:rPr>
        <w:t>Q</w:t>
      </w:r>
      <w:r>
        <w:rPr>
          <w:sz w:val="24"/>
          <w:vertAlign w:val="subscript"/>
          <w:lang w:val="en-US"/>
        </w:rPr>
        <w:t>amax</w:t>
      </w:r>
      <w:r>
        <w:rPr>
          <w:sz w:val="24"/>
          <w:lang w:val="en-US"/>
        </w:rPr>
        <w:t xml:space="preserve"> = 10 × P × F</w:t>
      </w:r>
      <w:r>
        <w:rPr>
          <w:sz w:val="24"/>
          <w:vertAlign w:val="subscript"/>
          <w:lang w:val="en-US"/>
        </w:rPr>
        <w:t>zr</w:t>
      </w:r>
      <w:r>
        <w:rPr>
          <w:sz w:val="24"/>
          <w:lang w:val="en-US"/>
        </w:rPr>
        <w:t xml:space="preserve"> × a [m</w:t>
      </w:r>
      <w:r>
        <w:rPr>
          <w:sz w:val="24"/>
          <w:vertAlign w:val="superscript"/>
          <w:lang w:val="en-US"/>
        </w:rPr>
        <w:t>3</w:t>
      </w:r>
      <w:r>
        <w:rPr>
          <w:sz w:val="24"/>
          <w:lang w:val="en-US"/>
        </w:rPr>
        <w:t>]</w:t>
      </w:r>
    </w:p>
    <w:p>
      <w:pPr>
        <w:pStyle w:val="Footnotetext"/>
        <w:ind w:hanging="0"/>
        <w:rPr/>
      </w:pPr>
      <w:r>
        <w:rPr/>
        <w:t>gdzie liczba 10 jest współczynnikiem przeliczeniowym, oraz:</w:t>
      </w:r>
    </w:p>
    <w:p>
      <w:pPr>
        <w:pStyle w:val="Footnotetext"/>
        <w:ind w:hanging="0"/>
        <w:rPr/>
      </w:pPr>
      <w:r>
        <w:rPr/>
        <w:t>P – wysokość średniego rocznego opadu atmosferycznego [mm] – przyjęto opad P = 806 mm</w:t>
      </w:r>
    </w:p>
    <w:p>
      <w:pPr>
        <w:pStyle w:val="Footnotetext"/>
        <w:ind w:hanging="0"/>
        <w:rPr/>
      </w:pPr>
      <w:r>
        <w:rPr/>
        <w:t>F</w:t>
      </w:r>
      <w:r>
        <w:rPr>
          <w:vertAlign w:val="subscript"/>
        </w:rPr>
        <w:t>zr</w:t>
      </w:r>
      <w:r>
        <w:rPr/>
        <w:t> – powierzchnia zredukowana zlewni [ha] – 0,3339 ha</w:t>
      </w:r>
    </w:p>
    <w:p>
      <w:pPr>
        <w:pStyle w:val="Footnotetext"/>
        <w:ind w:hanging="0"/>
        <w:rPr/>
      </w:pPr>
      <w:r>
        <w:rPr/>
        <w:t>a - współczynnik redukcji wysokości opadu rocznego o wielkość nie dającą odpływu (przyjęto a = 0,95)</w:t>
      </w:r>
    </w:p>
    <w:p>
      <w:pPr>
        <w:pStyle w:val="Footnotetext"/>
        <w:spacing w:before="120" w:after="120"/>
        <w:ind w:hanging="0"/>
        <w:rPr>
          <w:sz w:val="24"/>
        </w:rPr>
      </w:pPr>
      <w:r>
        <w:rPr>
          <w:sz w:val="24"/>
        </w:rPr>
        <w:t>Q</w:t>
      </w:r>
      <w:r>
        <w:rPr>
          <w:sz w:val="24"/>
          <w:vertAlign w:val="subscript"/>
        </w:rPr>
        <w:t>amax</w:t>
      </w:r>
      <w:r>
        <w:rPr>
          <w:sz w:val="24"/>
        </w:rPr>
        <w:t xml:space="preserve"> = 10 × 806 × 0,3339 × 0,95 = 2556,7 m</w:t>
      </w:r>
      <w:r>
        <w:rPr>
          <w:sz w:val="24"/>
          <w:vertAlign w:val="superscript"/>
        </w:rPr>
        <w:t>3</w:t>
      </w:r>
    </w:p>
    <w:p>
      <w:pPr>
        <w:pStyle w:val="Normal"/>
        <w:spacing w:before="120" w:after="0"/>
        <w:rPr/>
      </w:pPr>
      <w:r>
        <w:rPr/>
        <w:t>Jakość wód opadowych z terenów utwardzonych dróg w oparciu o dane literaturowe przedstawiono w poniższej tabeli:</w:t>
      </w:r>
    </w:p>
    <w:p>
      <w:pPr>
        <w:pStyle w:val="BodyText2"/>
        <w:rPr>
          <w:b/>
          <w:b/>
          <w:szCs w:val="22"/>
        </w:rPr>
      </w:pPr>
      <w:r>
        <w:rPr>
          <w:b/>
          <w:szCs w:val="22"/>
        </w:rPr>
      </w:r>
    </w:p>
    <w:p>
      <w:pPr>
        <w:pStyle w:val="Caption"/>
        <w:keepNext/>
        <w:jc w:val="left"/>
        <w:rPr/>
      </w:pPr>
      <w:r>
        <w:rPr/>
        <w:t xml:space="preserve">Tabela </w:t>
      </w:r>
      <w:r>
        <w:rPr/>
        <w:fldChar w:fldCharType="begin"/>
      </w:r>
      <w:r>
        <w:instrText> SEQ Tabela \* ARABIC </w:instrText>
      </w:r>
      <w:r>
        <w:fldChar w:fldCharType="separate"/>
      </w:r>
      <w:r>
        <w:t>25</w:t>
      </w:r>
      <w:r>
        <w:fldChar w:fldCharType="end"/>
      </w:r>
      <w:r>
        <w:rPr/>
        <w:t>.</w:t>
      </w:r>
      <w:r>
        <w:rPr>
          <w:b w:val="false"/>
        </w:rPr>
        <w:t xml:space="preserve"> Jakość ścieków z utwardzonych nawierzchni dróg (wg Danych Instytutu Zaopatrzenia w Wodę i Budownictwa Wodnego Politechniki Warszawskiej)</w:t>
      </w:r>
    </w:p>
    <w:tbl>
      <w:tblPr>
        <w:tblW w:w="9356"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495"/>
        <w:gridCol w:w="2624"/>
        <w:gridCol w:w="2692"/>
        <w:gridCol w:w="3544"/>
      </w:tblGrid>
      <w:tr>
        <w:trPr>
          <w:trHeight w:val="144" w:hRule="atLeast"/>
          <w:cantSplit w:val="true"/>
        </w:trPr>
        <w:tc>
          <w:tcPr>
            <w:tcW w:w="4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Lp.</w:t>
            </w:r>
          </w:p>
        </w:tc>
        <w:tc>
          <w:tcPr>
            <w:tcW w:w="5316"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Charakterystyczne wskaźniki zanieczyszczenia</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Miarodajne stężenie [mg/dm</w:t>
            </w:r>
            <w:r>
              <w:rPr>
                <w:rFonts w:cs="Arial" w:ascii="Arial" w:hAnsi="Arial"/>
                <w:b/>
                <w:sz w:val="18"/>
                <w:szCs w:val="18"/>
                <w:vertAlign w:val="superscript"/>
              </w:rPr>
              <w:t>3</w:t>
            </w:r>
            <w:r>
              <w:rPr>
                <w:rFonts w:cs="Arial" w:ascii="Arial" w:hAnsi="Arial"/>
                <w:b/>
                <w:sz w:val="18"/>
                <w:szCs w:val="18"/>
              </w:rPr>
              <w:t>]</w:t>
            </w:r>
          </w:p>
        </w:tc>
      </w:tr>
      <w:tr>
        <w:trPr>
          <w:cantSplit w:val="true"/>
        </w:trPr>
        <w:tc>
          <w:tcPr>
            <w:tcW w:w="4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lang w:val="de-DE"/>
              </w:rPr>
            </w:pPr>
            <w:r>
              <w:rPr>
                <w:rFonts w:cs="Arial" w:ascii="Arial" w:hAnsi="Arial"/>
                <w:sz w:val="18"/>
                <w:szCs w:val="18"/>
              </w:rPr>
              <w:t xml:space="preserve"> </w:t>
            </w:r>
            <w:r>
              <w:rPr>
                <w:rFonts w:cs="Arial" w:ascii="Arial" w:hAnsi="Arial"/>
                <w:sz w:val="18"/>
                <w:szCs w:val="18"/>
                <w:lang w:val="de-DE"/>
              </w:rPr>
              <w:t>1.</w:t>
            </w:r>
          </w:p>
        </w:tc>
        <w:tc>
          <w:tcPr>
            <w:tcW w:w="26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lang w:val="de-DE"/>
              </w:rPr>
            </w:pPr>
            <w:r>
              <w:rPr>
                <w:rFonts w:cs="Arial" w:ascii="Arial" w:hAnsi="Arial"/>
                <w:sz w:val="18"/>
                <w:szCs w:val="18"/>
                <w:lang w:val="de-DE"/>
              </w:rPr>
              <w:t>BZT</w:t>
            </w:r>
            <w:r>
              <w:rPr>
                <w:rFonts w:cs="Arial" w:ascii="Arial" w:hAnsi="Arial"/>
                <w:sz w:val="18"/>
                <w:szCs w:val="18"/>
                <w:vertAlign w:val="subscript"/>
                <w:lang w:val="de-DE"/>
              </w:rPr>
              <w:t>5</w:t>
            </w:r>
            <w:r>
              <w:rPr>
                <w:rFonts w:cs="Arial" w:ascii="Arial" w:hAnsi="Arial"/>
                <w:sz w:val="18"/>
                <w:szCs w:val="18"/>
                <w:lang w:val="de-DE"/>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szCs w:val="18"/>
                <w:lang w:val="de-DE"/>
              </w:rPr>
            </w:pPr>
            <w:r>
              <w:rPr>
                <w:rFonts w:cs="Arial" w:ascii="Arial" w:hAnsi="Arial"/>
                <w:sz w:val="18"/>
                <w:szCs w:val="18"/>
                <w:lang w:val="de-DE"/>
              </w:rPr>
              <w:t>mg/dm</w:t>
            </w:r>
            <w:r>
              <w:rPr>
                <w:rFonts w:cs="Arial" w:ascii="Arial" w:hAnsi="Arial"/>
                <w:sz w:val="18"/>
                <w:szCs w:val="18"/>
                <w:vertAlign w:val="superscript"/>
                <w:lang w:val="de-DE"/>
              </w:rPr>
              <w:t>3</w:t>
            </w:r>
            <w:r>
              <w:rPr>
                <w:rFonts w:cs="Arial" w:ascii="Arial" w:hAnsi="Arial"/>
                <w:sz w:val="18"/>
                <w:szCs w:val="18"/>
                <w:lang w:val="de-DE"/>
              </w:rPr>
              <w:t>O</w:t>
            </w:r>
            <w:r>
              <w:rPr>
                <w:rFonts w:cs="Arial" w:ascii="Arial" w:hAnsi="Arial"/>
                <w:sz w:val="18"/>
                <w:szCs w:val="18"/>
                <w:vertAlign w:val="subscript"/>
                <w:lang w:val="de-DE"/>
              </w:rPr>
              <w:t>2</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8 - 12</w:t>
            </w:r>
          </w:p>
        </w:tc>
      </w:tr>
      <w:tr>
        <w:trPr>
          <w:cantSplit w:val="true"/>
        </w:trPr>
        <w:tc>
          <w:tcPr>
            <w:tcW w:w="4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rPr>
            </w:pPr>
            <w:r>
              <w:rPr>
                <w:rFonts w:cs="Arial" w:ascii="Arial" w:hAnsi="Arial"/>
                <w:sz w:val="18"/>
                <w:szCs w:val="18"/>
              </w:rPr>
              <w:t xml:space="preserve"> </w:t>
            </w:r>
            <w:r>
              <w:rPr>
                <w:rFonts w:cs="Arial" w:ascii="Arial" w:hAnsi="Arial"/>
                <w:sz w:val="18"/>
                <w:szCs w:val="18"/>
              </w:rPr>
              <w:t>2.</w:t>
            </w:r>
          </w:p>
        </w:tc>
        <w:tc>
          <w:tcPr>
            <w:tcW w:w="26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rPr>
            </w:pPr>
            <w:r>
              <w:rPr>
                <w:rFonts w:cs="Arial" w:ascii="Arial" w:hAnsi="Arial"/>
                <w:sz w:val="18"/>
                <w:szCs w:val="18"/>
              </w:rPr>
              <w:t>Zawiesina ogólna</w:t>
            </w:r>
          </w:p>
        </w:tc>
        <w:tc>
          <w:tcPr>
            <w:tcW w:w="2692"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mg/dm</w:t>
            </w:r>
            <w:r>
              <w:rPr>
                <w:rFonts w:cs="Arial" w:ascii="Arial" w:hAnsi="Arial"/>
                <w:sz w:val="18"/>
                <w:szCs w:val="18"/>
                <w:vertAlign w:val="superscript"/>
              </w:rPr>
              <w:t>3</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25 - 50</w:t>
            </w:r>
          </w:p>
        </w:tc>
      </w:tr>
      <w:tr>
        <w:trPr>
          <w:trHeight w:val="301" w:hRule="atLeast"/>
          <w:cantSplit w:val="true"/>
        </w:trPr>
        <w:tc>
          <w:tcPr>
            <w:tcW w:w="4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rPr>
            </w:pPr>
            <w:r>
              <w:rPr>
                <w:rFonts w:cs="Arial" w:ascii="Arial" w:hAnsi="Arial"/>
                <w:sz w:val="18"/>
                <w:szCs w:val="18"/>
              </w:rPr>
              <w:t xml:space="preserve"> </w:t>
            </w:r>
            <w:r>
              <w:rPr>
                <w:rFonts w:cs="Arial" w:ascii="Arial" w:hAnsi="Arial"/>
                <w:sz w:val="18"/>
                <w:szCs w:val="18"/>
              </w:rPr>
              <w:t>3.</w:t>
            </w:r>
          </w:p>
        </w:tc>
        <w:tc>
          <w:tcPr>
            <w:tcW w:w="26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rPr>
            </w:pPr>
            <w:r>
              <w:rPr>
                <w:rFonts w:cs="Arial" w:ascii="Arial" w:hAnsi="Arial"/>
                <w:sz w:val="18"/>
                <w:szCs w:val="18"/>
              </w:rPr>
              <w:t>Substancje ropopochodne</w:t>
            </w:r>
          </w:p>
        </w:tc>
        <w:tc>
          <w:tcPr>
            <w:tcW w:w="2692"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rPr>
            </w:pPr>
            <w:r>
              <w:rPr>
                <w:rFonts w:cs="Arial" w:ascii="Arial" w:hAnsi="Arial"/>
                <w:sz w:val="18"/>
                <w:szCs w:val="18"/>
              </w:rPr>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0 - 5</w:t>
            </w:r>
          </w:p>
        </w:tc>
      </w:tr>
    </w:tbl>
    <w:p>
      <w:pPr>
        <w:pStyle w:val="BodyText2"/>
        <w:spacing w:lineRule="auto" w:line="360"/>
        <w:rPr>
          <w:b/>
          <w:b/>
          <w:bCs/>
        </w:rPr>
      </w:pPr>
      <w:r>
        <w:rPr>
          <w:b/>
          <w:bCs/>
        </w:rPr>
      </w:r>
    </w:p>
    <w:p>
      <w:pPr>
        <w:pStyle w:val="Normal"/>
        <w:rPr/>
      </w:pPr>
      <w:r>
        <w:rPr/>
        <w:t xml:space="preserve">Stężenia oraz ładunki zanieczyszczeń w wodach opadowych zależą od wielu czynników, </w:t>
        <w:br/>
        <w:t xml:space="preserve">w tym głównie od sposobu zagospodarowania i użytkowania terenu. Wody opadowe i roztopowe pochodzące z dachów traktowane są jako czyste. </w:t>
      </w:r>
    </w:p>
    <w:p>
      <w:pPr>
        <w:pStyle w:val="Normal"/>
        <w:rPr/>
      </w:pPr>
      <w:r>
        <w:rPr/>
        <w:t>W wodach opadowych z terenów utwardzonych, poza terenami silnie zanieczyszczonymi (np. rafinerie, stacje benzynowe, bazy transportowe), nie obserwuje się przekroczenia dopuszczalnych dla wód opadowych i roztopowych stężeń 15 mg/dm</w:t>
      </w:r>
      <w:r>
        <w:rPr>
          <w:vertAlign w:val="superscript"/>
        </w:rPr>
        <w:t>3</w:t>
      </w:r>
      <w:r>
        <w:rPr/>
        <w:t xml:space="preserve"> substancji ropopochodnych i 100 mg/dm</w:t>
      </w:r>
      <w:r>
        <w:rPr>
          <w:vertAlign w:val="superscript"/>
        </w:rPr>
        <w:t>3</w:t>
      </w:r>
      <w:r>
        <w:rPr/>
        <w:t xml:space="preserve"> zawiesin ogólnych. W analizowanym przypadku mamy do czynienia z zakładem, w którym przewiduje się niewielki ruch pojazdów po terenie oraz będzie wykorzystywany olej opałowy. W związku z tym, a także ze względu na zapisy miejscowego planu zagospodarowania przestrzennego Inwestor planuje montaż separatora substancji ropopochodnych wraz z osadnikiem.</w:t>
      </w:r>
    </w:p>
    <w:p>
      <w:pPr>
        <w:pStyle w:val="Normal"/>
        <w:rPr/>
      </w:pPr>
      <w:r>
        <w:rPr/>
        <w:t xml:space="preserve">Zgodnie z Rozporządzeniem Ministra Środowiska z dnia 18 listopada 2014 roku </w:t>
      </w:r>
      <w:r>
        <w:rPr>
          <w:i/>
        </w:rPr>
        <w:t>w sprawie warunków, jakie należy spełnić przy wprowadzaniu ścieków do wód lub do ziemi</w:t>
      </w:r>
      <w:r>
        <w:rPr/>
        <w:t xml:space="preserve"> wody opadowe i roztopowe z powierzchni szczelnych terenów przemysłowych, ujęte w systemy kanalizacyjne powinny być oczyszczone w ilości jaka powstaje z opadu o natężeniu 15 l/s na ha, w taki sposób aby w odpływie do odbiornika zawartość zawiesin ogólnych była nie większa niż 100 mg/l, a substancji ropopochodnych – nie większa niż 15 mg/l. Odpływ wód opadowych i roztopowych w ilościach przekraczających wartości wynikające z opadu o natężeniu 15 l/s na ha, może być wprowadzany do odbiornika bez oczyszczania, a urządzenie oczyszczające powinno być zabezpieczone przed dopływem o natężeniu większym niż jego przepustowość nominalna. </w:t>
      </w:r>
    </w:p>
    <w:p>
      <w:pPr>
        <w:pStyle w:val="Normal"/>
        <w:rPr/>
      </w:pPr>
      <w:r>
        <w:rPr/>
        <w:t>Odpływ jednostkowy z terenu utwardzonego, z którego wody opadowe będą oczyszczane wynosi q = 35,18 dm</w:t>
      </w:r>
      <w:r>
        <w:rPr>
          <w:vertAlign w:val="superscript"/>
        </w:rPr>
        <w:t>3</w:t>
      </w:r>
      <w:r>
        <w:rPr/>
        <w:t xml:space="preserve">/s. </w:t>
      </w:r>
    </w:p>
    <w:p>
      <w:pPr>
        <w:pStyle w:val="Normal"/>
        <w:rPr/>
      </w:pPr>
      <w:r>
        <w:rPr/>
        <w:t>Ilość wód wymagających oczyszczenia z terenu poszczególnych zlewni obliczono korzystając z przedstawionego powyżej wzoru.</w:t>
      </w:r>
    </w:p>
    <w:p>
      <w:pPr>
        <w:pStyle w:val="Normal"/>
        <w:spacing w:before="120" w:after="120"/>
        <w:ind w:hanging="0"/>
        <w:rPr/>
      </w:pPr>
      <w:r>
        <w:rPr/>
        <w:t xml:space="preserve">Q = </w:t>
      </w:r>
      <w:r>
        <w:rPr>
          <w:szCs w:val="24"/>
        </w:rPr>
        <w:t>0,1207 × 15 = 2,81 dm</w:t>
      </w:r>
      <w:r>
        <w:rPr>
          <w:szCs w:val="24"/>
          <w:vertAlign w:val="superscript"/>
        </w:rPr>
        <w:t>3</w:t>
      </w:r>
      <w:r>
        <w:rPr>
          <w:szCs w:val="24"/>
        </w:rPr>
        <w:t>/s</w:t>
      </w:r>
    </w:p>
    <w:p>
      <w:pPr>
        <w:pStyle w:val="Normal"/>
        <w:rPr/>
      </w:pPr>
      <w:r>
        <w:rPr/>
        <w:t>Planuje się montaż separatora koalescencyjnego o przepustowości nominalnej 5 l/s i maksymalnej 50 l/s z osadnikiem.</w:t>
      </w:r>
    </w:p>
    <w:p>
      <w:pPr>
        <w:pStyle w:val="Normal"/>
        <w:rPr/>
      </w:pPr>
      <w:r>
        <w:rPr/>
        <w:t>W przypadku przepustowości nominalnej poniżej 300 l/s ocenę spełniania wymogów jakościowych odprowadzanych ścieków przeprowadza się na podstawie dokonywanych przez zakład, co najmniej 2 razy w roku, przeglądów eksploatacyjnych urządzeń oczyszczających. Eksploatacja powinna odbywać się zgodnie z instrukcją obsługi i konserwacji urządzeń oczyszczających, dokumentacją DTR urządzenia, a czynności z nią związane odnotowane w zeszycie eksploatacji tego urządzenia.</w:t>
      </w:r>
    </w:p>
    <w:p>
      <w:pPr>
        <w:pStyle w:val="Normal"/>
        <w:rPr/>
      </w:pPr>
      <w:r>
        <w:rPr/>
        <w:t xml:space="preserve">Mając na uwadze charakterystykę przedsięwzięcia, a więc: </w:t>
      </w:r>
    </w:p>
    <w:p>
      <w:pPr>
        <w:pStyle w:val="Normal"/>
        <w:numPr>
          <w:ilvl w:val="0"/>
          <w:numId w:val="75"/>
        </w:numPr>
        <w:ind w:left="709" w:hanging="312"/>
        <w:rPr/>
      </w:pPr>
      <w:r>
        <w:rPr/>
        <w:t xml:space="preserve">zaproponowaną technologię (niemal całkowity brak ścieków przemysłowych – ścieki wyłącznie z mycia powierzchni i okresowego mycia elementów instalacji), </w:t>
      </w:r>
    </w:p>
    <w:p>
      <w:pPr>
        <w:pStyle w:val="Normal"/>
        <w:numPr>
          <w:ilvl w:val="0"/>
          <w:numId w:val="75"/>
        </w:numPr>
        <w:ind w:left="709" w:hanging="312"/>
        <w:rPr/>
      </w:pPr>
      <w:r>
        <w:rPr/>
        <w:t xml:space="preserve">organizację funkcjonalną zakładu (brak magazynu paliwa – brak odcieków, gromadzenie wszystkich odpadów w szczelnych pojemnikach w budynku), </w:t>
      </w:r>
    </w:p>
    <w:p>
      <w:pPr>
        <w:pStyle w:val="Normal"/>
        <w:numPr>
          <w:ilvl w:val="0"/>
          <w:numId w:val="75"/>
        </w:numPr>
        <w:ind w:left="709" w:hanging="312"/>
        <w:rPr/>
      </w:pPr>
      <w:r>
        <w:rPr/>
        <w:t xml:space="preserve">usytuowanie na uzbrojonym terenie z dostępem do miejskiej infrastruktury wodno-kanalizacyjnej, </w:t>
      </w:r>
    </w:p>
    <w:p>
      <w:pPr>
        <w:pStyle w:val="Normal"/>
        <w:numPr>
          <w:ilvl w:val="0"/>
          <w:numId w:val="75"/>
        </w:numPr>
        <w:ind w:left="709" w:hanging="312"/>
        <w:rPr/>
      </w:pPr>
      <w:r>
        <w:rPr/>
        <w:t>zastosowanie rozwiązań technicznych zapobiegających emisji zanieczyszczeń w wodach opadowych (szczelne podłoże dróg i placów, odprowadzanie wód opadowych po ich oczyszczeniu w separatorze substancji ropopochodnych, ewentualne zastosowanie zasuwy w celu umożliwienia retencji zanczyszczonych chemicznie wód gaśniczych przed ich odprowadzeniem do sieci kanalizacji miejskiej),</w:t>
      </w:r>
    </w:p>
    <w:p>
      <w:pPr>
        <w:pStyle w:val="Normal"/>
        <w:numPr>
          <w:ilvl w:val="0"/>
          <w:numId w:val="75"/>
        </w:numPr>
        <w:ind w:left="709" w:hanging="312"/>
        <w:rPr/>
      </w:pPr>
      <w:r>
        <w:rPr/>
        <w:t>gromadzenie czystych wód opadowych z dachów podlewania zieleni w sezonie wegetacyjnym,</w:t>
      </w:r>
    </w:p>
    <w:p>
      <w:pPr>
        <w:pStyle w:val="Normal"/>
        <w:numPr>
          <w:ilvl w:val="0"/>
          <w:numId w:val="75"/>
        </w:numPr>
        <w:ind w:left="709" w:hanging="312"/>
        <w:rPr/>
      </w:pPr>
      <w:r>
        <w:rPr/>
        <w:t>niewielką skalę przedsięwzięcia,</w:t>
      </w:r>
    </w:p>
    <w:p>
      <w:pPr>
        <w:pStyle w:val="Normal"/>
        <w:ind w:hanging="0"/>
        <w:rPr/>
      </w:pPr>
      <w:r>
        <w:rPr/>
        <w:t xml:space="preserve">należy uznać, że w fazie eksploatacji planowane przedsięwzięcie nie będzie negatywnie oddziaływać na stan wód podziemnych i powierzchniowych. </w:t>
      </w:r>
    </w:p>
    <w:p>
      <w:pPr>
        <w:pStyle w:val="Normal"/>
        <w:ind w:hanging="0"/>
        <w:rPr/>
      </w:pPr>
      <w:r>
        <w:rPr/>
      </w:r>
    </w:p>
    <w:p>
      <w:pPr>
        <w:pStyle w:val="Nagwek3"/>
        <w:numPr>
          <w:ilvl w:val="2"/>
          <w:numId w:val="2"/>
        </w:numPr>
        <w:ind w:hanging="851"/>
        <w:rPr/>
      </w:pPr>
      <w:bookmarkStart w:id="101" w:name="_Toc518331349"/>
      <w:bookmarkEnd w:id="101"/>
      <w:r>
        <w:rPr/>
        <w:t>Oddziaływanie na powietrze atmosferyczne</w:t>
      </w:r>
    </w:p>
    <w:p>
      <w:pPr>
        <w:pStyle w:val="Normal"/>
        <w:ind w:hanging="0"/>
        <w:rPr>
          <w:i/>
          <w:i/>
          <w:sz w:val="22"/>
          <w:szCs w:val="22"/>
        </w:rPr>
      </w:pPr>
      <w:r>
        <w:rPr>
          <w:i/>
          <w:sz w:val="22"/>
          <w:szCs w:val="22"/>
        </w:rPr>
        <w:t>(Uwaga: nieznaczne różnice, które mogą wystąpić pomiędzy zaprezentowanymi wynikami a wartościami otrzymywanymi poprzez wykonanie obliczeń na kalkulatorze wynikają z różnej dokładności zaokrąglania, otrzymywanej podczas użycia kalkulatora i arkusza kalkulacyjnego, w którym wykonywano obliczenia. Komentarz ten odnosi się do wszystkich wyników obliczeń, prezentowanych w przedmiotowej dokumentacji).</w:t>
      </w:r>
    </w:p>
    <w:p>
      <w:pPr>
        <w:pStyle w:val="Normal"/>
        <w:rPr/>
      </w:pPr>
      <w:r>
        <w:rPr/>
      </w:r>
    </w:p>
    <w:p>
      <w:pPr>
        <w:pStyle w:val="Nagwek4"/>
        <w:numPr>
          <w:ilvl w:val="3"/>
          <w:numId w:val="2"/>
        </w:numPr>
        <w:ind w:hanging="992"/>
        <w:rPr/>
      </w:pPr>
      <w:bookmarkStart w:id="102" w:name="_Toc515019370"/>
      <w:bookmarkEnd w:id="102"/>
      <w:r>
        <w:rPr/>
        <w:t>Opis instalacji pod kątem emisji do powietrza</w:t>
      </w:r>
    </w:p>
    <w:p>
      <w:pPr>
        <w:pStyle w:val="Stopka"/>
        <w:spacing w:before="0" w:after="60"/>
        <w:ind w:hanging="0"/>
        <w:rPr>
          <w:b/>
          <w:b/>
          <w:u w:val="single"/>
        </w:rPr>
      </w:pPr>
      <w:r>
        <w:rPr>
          <w:b/>
          <w:u w:val="single"/>
        </w:rPr>
        <w:t>Wykorzystywane paliwo</w:t>
      </w:r>
    </w:p>
    <w:p>
      <w:pPr>
        <w:pStyle w:val="Normal"/>
        <w:rPr/>
      </w:pPr>
      <w:r>
        <w:rPr/>
        <w:t>Instalacja będzie wykorzystywać jako podstawowy materiał wsadowy paliwo alternatywne</w:t>
        <w:br/>
        <w:t xml:space="preserve">o kodzie 19 12 10. Inwestor przewiduje stosowanie jako paliwa mokrej biomasy leśnej w ilości nie przekraczającej 10% całkowitej masy spalanego paliwa. W założeniu mają być to pozostałości zrębowe, korzenie ściętych drzew oraz odpadów z cięć pielęgnacyjnych, poddawane </w:t>
      </w:r>
      <w:r>
        <w:rPr>
          <w:i/>
        </w:rPr>
        <w:t>in situ</w:t>
      </w:r>
      <w:r>
        <w:rPr/>
        <w:t xml:space="preserve"> lub w wyznaczonych miejscach rozdrobnieniu do postaci mokrej zrębki energetycznej. W takiej postaci biomasa będzie dodawana do RDF w celu obniżenia zbyt wysokiej wartości kalorycznej paliwa stosowanego w instalacji oraz w celu zapewnienia odpowiedniej wilgotności paliwa podawanego do instalacji. Z informacji uzyskanych od Inwestora, kaloryczność paliwa alternatywnego wytwarzanego przez Beskid Żywiec Sp. z o.o. wynosi do około 17 MJ/kg. W założeniach technologicznych planowanej instalacji przyjęto kaloryczność paliwa na poziomie 15 MJ/kg. W ocenie partnera technologicznego Inwestora, który będzie dostarczał instalację, odpowiednia kaloryczność paliwa może mieć wpływ na przebieg procesu technologicznego, więc jej ewentualne obniżenie wpłynie na niego korzystnie. </w:t>
      </w:r>
    </w:p>
    <w:p>
      <w:pPr>
        <w:pStyle w:val="Normal"/>
        <w:rPr/>
      </w:pPr>
      <w:r>
        <w:rPr/>
        <w:t>W instalacji będą się znajdowały dwie linie technologiczne o łącznej mocy użytkowej 5 MW. Źródło emisji będzie stanowić spalanie paliwa alternatywnego w piecu rusztowym.</w:t>
      </w:r>
    </w:p>
    <w:p>
      <w:pPr>
        <w:pStyle w:val="Normal"/>
        <w:rPr/>
      </w:pPr>
      <w:r>
        <w:rPr/>
        <w:t>Parametry pojedynczego pieca rusztowego przedstawiono poniżej:</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Max wydajność pieca</w:t>
        <w:tab/>
        <w:tab/>
        <w:tab/>
        <w:tab/>
        <w:t>750 kg paliwa/h, 18 Mg paliwa/dzień</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Temperatura procesowa</w:t>
        <w:tab/>
        <w:tab/>
        <w:tab/>
        <w:t>850 – 1200°C</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Temperatura dopalania gazów</w:t>
        <w:tab/>
        <w:tab/>
        <w:t>do 1200°C</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Czas przebywania spalin</w:t>
        <w:tab/>
        <w:tab/>
        <w:tab/>
        <w:t>nie mniej niż 2 s</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Palnik rozpałkowy</w:t>
        <w:tab/>
        <w:tab/>
        <w:tab/>
        <w:tab/>
        <w:t>550 – 950 kW</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Rodzaj paliwa do palnika</w:t>
        <w:tab/>
        <w:tab/>
        <w:tab/>
        <w:t>olej opałowy</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Maksymalne zużycie oleju opałowego</w:t>
        <w:tab/>
        <w:t>60 – 90 l/h</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Ilość spalin</w:t>
        <w:tab/>
        <w:tab/>
        <w:tab/>
        <w:tab/>
        <w:tab/>
        <w:t>12 000 Nm</w:t>
      </w:r>
      <w:r>
        <w:rPr>
          <w:rFonts w:cs="Times New Roman" w:ascii="Times New Roman" w:hAnsi="Times New Roman"/>
          <w:sz w:val="24"/>
          <w:szCs w:val="24"/>
          <w:vertAlign w:val="superscript"/>
        </w:rPr>
        <w:t>3</w:t>
      </w:r>
      <w:r>
        <w:rPr>
          <w:rFonts w:cs="Times New Roman" w:ascii="Times New Roman" w:hAnsi="Times New Roman"/>
          <w:sz w:val="24"/>
          <w:szCs w:val="24"/>
        </w:rPr>
        <w:t>/h</w:t>
      </w:r>
    </w:p>
    <w:p>
      <w:pPr>
        <w:pStyle w:val="PlainText"/>
        <w:numPr>
          <w:ilvl w:val="0"/>
          <w:numId w:val="69"/>
        </w:numPr>
        <w:spacing w:before="0" w:after="120"/>
        <w:jc w:val="both"/>
        <w:rPr>
          <w:rFonts w:ascii="Times New Roman" w:hAnsi="Times New Roman" w:cs="Times New Roman"/>
          <w:sz w:val="24"/>
          <w:szCs w:val="24"/>
        </w:rPr>
      </w:pPr>
      <w:r>
        <w:rPr>
          <w:rFonts w:cs="Times New Roman" w:ascii="Times New Roman" w:hAnsi="Times New Roman"/>
          <w:sz w:val="24"/>
          <w:szCs w:val="24"/>
        </w:rPr>
        <w:t>Maksymalny czas pracy</w:t>
        <w:tab/>
        <w:tab/>
        <w:tab/>
        <w:t>8 200 h/rok</w:t>
      </w:r>
    </w:p>
    <w:p>
      <w:pPr>
        <w:pStyle w:val="Stopka"/>
        <w:spacing w:before="0" w:after="60"/>
        <w:ind w:hanging="0"/>
        <w:rPr>
          <w:b/>
          <w:b/>
          <w:u w:val="single"/>
        </w:rPr>
      </w:pPr>
      <w:r>
        <w:rPr>
          <w:b/>
          <w:u w:val="single"/>
        </w:rPr>
        <w:t>System oczyszczania powietrza</w:t>
      </w:r>
    </w:p>
    <w:p>
      <w:pPr>
        <w:pStyle w:val="Normal"/>
        <w:rPr/>
      </w:pPr>
      <w:r>
        <w:rPr/>
        <w:t xml:space="preserve">Spaliny po przejściu przez kocioł odzysknicowy są wtłaczane przez wentylator wyciągowy do systemu oczyszczania spalin pierwszego stopnia, gdzie po przejściu spalin przez zwężkę Venturiego następuje proces dozowania sorbentów w postaci wodorowęglanu sodu i węgla aktywnego, poprzedzający ich dalsze oczyszczanie. System oczyszczania spalin pierwszego stopnia jest zaopatrzony w dwa silosy, z których podawane są dwa rodzaje sorbentów w postaci:  wodorowęglanu sodu oraz węgla aktywnego. Każdy z silosów jest zaopatrzony w urządzenie wibracyjne zapobiegając zawieszaniu się sorbentu na ścianach silosu. Spaliny po podaniu do nich sorbentów przechodzą przez reaktor, który poprzez swoją długość i kształt rury odprowadzającej spaliny zapewnia proces prawidłowego mieszania sorbentu ze spalinami i zapewnia odpowiedni czas reakcji sorbentu i spalin. </w:t>
      </w:r>
    </w:p>
    <w:p>
      <w:pPr>
        <w:pStyle w:val="Normal"/>
        <w:rPr/>
      </w:pPr>
      <w:r>
        <w:rPr/>
        <w:t xml:space="preserve">Spaliny po przereagowaniu z sorbentami są kierowane do filtra workowego nr 1. Filtr workowy pionowy składa się ze 160 worków wytrzymujących w szczycie temperatury do 270 stopni C, znajdujących się w kilku sekcjach. Proces oczyszczania spalin odbywa się na tzw. placku filtracyjnym, jaki tworzy się na powierzchni każdego z worków, gdzie osadza się mieszanina pyłów i sorbentu zawartego w gazach spalinowych napływających z reaktora. Pył z procesu oczyszczania spalin jest strzepywany z worków za pomocą sprężonego powietrza. Pył z procesu oczyszczania spalin opada grawitacyjnie na dno filtra, skąd jest usuwany za pomocą wygarniacza ślimakowego, który w systemie zamkniętym podaje go za pośrednictwem podajnika celkowego do zamkniętych worków typu big bag. </w:t>
      </w:r>
    </w:p>
    <w:p>
      <w:pPr>
        <w:pStyle w:val="Normal"/>
        <w:rPr/>
      </w:pPr>
      <w:r>
        <w:rPr/>
        <w:t>Spaliny po przejściu przez filtr workowy nr 1 pierwszego stopnia oczyszczania spalin przechodzą do drugiego stopnia oczyszczania spalin, w którym do spalin z silosu podawany jest dodatkowy sorbent w postaci wodorowęglanu sodu. Spaliny po przejściu przez drugi reaktor, w którym następuje proces reakcji i zmieszania spalin z sorbentem,  przechodzą do filtra workowego nr 2, w którym następuje końcowy proces oczyszczania spalin. Zastosowanie drugiego stopnia oczyszczania spalin zapewnia Instalacji bufor bezpieczeństwa w przypadku nagłej zmiany składu gazów spalinowych podlegających oczyszczaniu i daje możliwość doczyszczenia spalin bez ryzyka przekroczenia norm emisyjnych.</w:t>
      </w:r>
    </w:p>
    <w:p>
      <w:pPr>
        <w:pStyle w:val="Normal"/>
        <w:rPr>
          <w:u w:val="single"/>
        </w:rPr>
      </w:pPr>
      <w:r>
        <w:rPr>
          <w:u w:val="single"/>
        </w:rPr>
        <w:t xml:space="preserve">Opisany system oczyszczania spalin należy traktować jako całość. Przez skuteczność systemu oczyszczania spalin w analizowanym przypadku należy rozumieć gwarancję dotrzymywania standardów emisyjnych przez przedmiotową instalację. </w:t>
      </w:r>
    </w:p>
    <w:p>
      <w:pPr>
        <w:pStyle w:val="Normal"/>
        <w:spacing w:before="0" w:after="120"/>
        <w:rPr>
          <w:u w:val="single"/>
        </w:rPr>
      </w:pPr>
      <w:r>
        <w:rPr>
          <w:u w:val="single"/>
        </w:rPr>
        <w:t xml:space="preserve">Według danych producenta, opisany system oczyszczania spalin umożliwi dotrzymywanie standardów emisyjnych przez instalację, przedstawionych poniżej. </w:t>
      </w:r>
    </w:p>
    <w:p>
      <w:pPr>
        <w:pStyle w:val="Stopka"/>
        <w:spacing w:before="0" w:after="60"/>
        <w:ind w:hanging="0"/>
        <w:rPr>
          <w:b/>
          <w:b/>
          <w:u w:val="single"/>
        </w:rPr>
      </w:pPr>
      <w:r>
        <w:rPr>
          <w:b/>
          <w:u w:val="single"/>
        </w:rPr>
      </w:r>
    </w:p>
    <w:p>
      <w:pPr>
        <w:pStyle w:val="Stopka"/>
        <w:spacing w:before="0" w:after="60"/>
        <w:ind w:hanging="0"/>
        <w:rPr>
          <w:b/>
          <w:b/>
          <w:u w:val="single"/>
        </w:rPr>
      </w:pPr>
      <w:r>
        <w:rPr>
          <w:b/>
          <w:u w:val="single"/>
        </w:rPr>
        <w:t>Standardy emisyjne</w:t>
      </w:r>
    </w:p>
    <w:p>
      <w:pPr>
        <w:pStyle w:val="Normal"/>
        <w:rPr/>
      </w:pPr>
      <w:r>
        <w:rPr/>
        <w:t xml:space="preserve">Dla instalacji obowiązują standardy emisyjne, określone w załączniku nr 7 do Rozporządzenia Ministra Środowiska z dnia 1 marca 2018 roku </w:t>
      </w:r>
      <w:r>
        <w:rPr>
          <w:i/>
        </w:rPr>
        <w:t xml:space="preserve">w sprawie standardów emisyjnych dla niektórych rodzajów instalacji, źródeł spalania paliw oraz urządzeń spalania lub współspalania odpadów </w:t>
      </w:r>
      <w:r>
        <w:rPr/>
        <w:t>(Dz.U.2018, poz. 680). Przywołane standardy przedstawiono w punkcie 2.4.5.</w:t>
      </w:r>
    </w:p>
    <w:p>
      <w:pPr>
        <w:pStyle w:val="Normal"/>
        <w:rPr/>
      </w:pPr>
      <w:r>
        <w:rPr/>
      </w:r>
    </w:p>
    <w:p>
      <w:pPr>
        <w:pStyle w:val="Nagwek4"/>
        <w:numPr>
          <w:ilvl w:val="3"/>
          <w:numId w:val="2"/>
        </w:numPr>
        <w:ind w:hanging="992"/>
        <w:rPr/>
      </w:pPr>
      <w:bookmarkStart w:id="103" w:name="_Toc515019371"/>
      <w:r>
        <w:rPr/>
        <w:t xml:space="preserve"> </w:t>
      </w:r>
      <w:bookmarkEnd w:id="103"/>
      <w:r>
        <w:rPr/>
        <w:t>Obiekt referencyjny</w:t>
      </w:r>
    </w:p>
    <w:p>
      <w:pPr>
        <w:pStyle w:val="Normal"/>
        <w:rPr/>
      </w:pPr>
      <w:r>
        <w:rPr/>
        <w:t xml:space="preserve">Obiektem referencyjnym dla planowanej instalacji jest instalacja do termicznego przekształcania paliwa alternatywnego w miejscowości Szeligi. W referencyjnej instalacji w Szeligach została zastosowana ta sama technologia, która jest planowana w projektowanej instalacji. Spalanie paliwa odbywa się w ceramicznym piecu rusztowym. W instalacji w Szeligach został zamontowany taki sam,  jednoetapowy  system oczyszczania spalin jaki jest przewidywany w planowanej inwestycji, który został opisany w poprzednim punkcie. </w:t>
      </w:r>
    </w:p>
    <w:p>
      <w:pPr>
        <w:pStyle w:val="Normal"/>
        <w:rPr/>
      </w:pPr>
      <w:r>
        <w:rPr/>
        <w:t>Dla instalacji referencyjnej w Szeligach wykonano w październiku 2016 r. pomiary emisji zanieczyszczeń. Pomiary zostały wykonane przez akredytowane laboratorium firmy TESMO Sp. z o.o. Pomiary wykonano podczas spalania paliwa alternatywnego o kodzie 19 12 10 w ilości 100 kg paliwa/h. Podczas pomiarów podawano sorbenty: wapno oraz węgiel aktywny. Sprawozdanie z pomiarów przedstawiono w załączniku nr 10.</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26</w:t>
      </w:r>
      <w:r>
        <w:fldChar w:fldCharType="end"/>
      </w:r>
      <w:r>
        <w:rPr/>
        <w:t>.</w:t>
      </w:r>
      <w:r>
        <w:rPr>
          <w:b w:val="false"/>
        </w:rPr>
        <w:t xml:space="preserve"> Wyniki pomiarów emisji z instalacji referencyjnej</w:t>
      </w:r>
    </w:p>
    <w:p>
      <w:pPr>
        <w:pStyle w:val="NormalWeb"/>
        <w:spacing w:beforeAutospacing="0" w:before="0" w:afterAutospacing="0" w:after="0"/>
        <w:ind w:hanging="0"/>
        <w:rPr/>
      </w:pPr>
      <w:r>
        <w:rPr/>
        <w:drawing>
          <wp:inline distT="0" distB="0" distL="19050" distR="2540">
            <wp:extent cx="5883910" cy="3061335"/>
            <wp:effectExtent l="0" t="0" r="0" b="0"/>
            <wp:docPr id="44" name="Obraz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34" descr=""/>
                    <pic:cNvPicPr>
                      <a:picLocks noChangeAspect="1" noChangeArrowheads="1"/>
                    </pic:cNvPicPr>
                  </pic:nvPicPr>
                  <pic:blipFill>
                    <a:blip r:embed="rId55"/>
                    <a:stretch>
                      <a:fillRect/>
                    </a:stretch>
                  </pic:blipFill>
                  <pic:spPr bwMode="auto">
                    <a:xfrm>
                      <a:off x="0" y="0"/>
                      <a:ext cx="5883910" cy="3061335"/>
                    </a:xfrm>
                    <a:prstGeom prst="rect">
                      <a:avLst/>
                    </a:prstGeom>
                  </pic:spPr>
                </pic:pic>
              </a:graphicData>
            </a:graphic>
          </wp:inline>
        </w:drawing>
      </w:r>
    </w:p>
    <w:p>
      <w:pPr>
        <w:pStyle w:val="Normal"/>
        <w:rPr/>
      </w:pPr>
      <w:r>
        <w:rPr/>
      </w:r>
    </w:p>
    <w:p>
      <w:pPr>
        <w:pStyle w:val="Normal"/>
        <w:rPr/>
      </w:pPr>
      <w:r>
        <w:rPr/>
        <w:t>W ramach pomiarów wykonano badania dla dioksyn i furanów. W sprawozdaniu przedstawiono dodatkowo średnie stężenia HCl, HF, pyłu, SO</w:t>
      </w:r>
      <w:r>
        <w:rPr>
          <w:vertAlign w:val="subscript"/>
        </w:rPr>
        <w:t>2</w:t>
      </w:r>
      <w:r>
        <w:rPr/>
        <w:t>, tlenków azotu, CO i OWO uzyskane z monitoringu ciągłego – systemu ciągłego pomiaru emisji spalin firmy OMC Envag. Poniżej przedstawiono porównanie wyników pomiarów w wartościami dopuszczalnymi (standardy emisyjne).</w:t>
      </w:r>
    </w:p>
    <w:p>
      <w:pPr>
        <w:pStyle w:val="Normal"/>
        <w:rPr/>
      </w:pPr>
      <w:r>
        <w:rPr/>
        <w:t>Wyniki pomiarów pokazują, że opisany powyżej system oczyszczania spalin umożliwia dotrzymywanie standardów emisyjnych dla instalacji.</w:t>
      </w:r>
    </w:p>
    <w:p>
      <w:pPr>
        <w:pStyle w:val="Normal"/>
        <w:rPr/>
      </w:pPr>
      <w:r>
        <w:rPr/>
        <w:t>Dla instalacji referencyjnej w miejscowości Szeligi zostały wykonane dodatkowo następujące badaniei certyfikacje, potwierdzające funkcjonowanie instalacji zgodnie z przepisami prawa:</w:t>
      </w:r>
    </w:p>
    <w:p>
      <w:pPr>
        <w:pStyle w:val="Normal"/>
        <w:numPr>
          <w:ilvl w:val="0"/>
          <w:numId w:val="70"/>
        </w:numPr>
        <w:rPr/>
      </w:pPr>
      <w:r>
        <w:rPr/>
        <w:t>Świadectwo Energetyczne nr OS/346/CUE/16 z dnia 15.11.2016 r. potwierdzające spełnianie przez ceramiczny piec rusztowy wymogów termicznego przekształcania odpadów zawartych w Rozporządzeniu Ministra Rozwoju z dnia 21 stycznia 2016 r. (Dz.U. z 2016 r. poz. 108) w zakresie spełnienia wymogów czasu retencji gazów i temperatury spalania paliwa alternatywnego (Załącznik nr 3).</w:t>
      </w:r>
    </w:p>
    <w:p>
      <w:pPr>
        <w:pStyle w:val="Normal"/>
        <w:numPr>
          <w:ilvl w:val="0"/>
          <w:numId w:val="70"/>
        </w:numPr>
        <w:rPr/>
      </w:pPr>
      <w:r>
        <w:rPr/>
        <w:t>Opinia Wydziału Instalacji Budowlanych, Hydrotechniki i Inżynierii Środowiska Politechniki Warszawskiej z dnia 07.10.2016 r. o zgodności instalacji do termicznego przekształcania paliwa alternatywnego opartej o technologię pieca rusztowego z wymogami BAT określonymi w Dyrektywie 96/61/WE. (Załącznik nr 2).</w:t>
      </w:r>
    </w:p>
    <w:p>
      <w:pPr>
        <w:pStyle w:val="Normal"/>
        <w:rPr/>
      </w:pPr>
      <w:r>
        <w:rPr/>
        <w:t>Należy zatem uznać, że planowana do zastosowania technologia jest bezpieczna dla środowiska i umożliwi funkcjonowanie instalacji zgodnie z obowiązującymi przepisami prawa.</w:t>
      </w:r>
    </w:p>
    <w:p>
      <w:pPr>
        <w:pStyle w:val="Normal"/>
        <w:rPr/>
      </w:pPr>
      <w:r>
        <w:rPr/>
      </w:r>
    </w:p>
    <w:p>
      <w:pPr>
        <w:pStyle w:val="Nagwek4"/>
        <w:numPr>
          <w:ilvl w:val="3"/>
          <w:numId w:val="2"/>
        </w:numPr>
        <w:ind w:hanging="992"/>
        <w:rPr/>
      </w:pPr>
      <w:bookmarkStart w:id="104" w:name="_Toc515019372"/>
      <w:bookmarkEnd w:id="104"/>
      <w:r>
        <w:rPr/>
        <w:t>Emisja zanieczyszczeń z pieca rusztowego</w:t>
      </w:r>
    </w:p>
    <w:p>
      <w:pPr>
        <w:pStyle w:val="Normal"/>
        <w:rPr/>
      </w:pPr>
      <w:r>
        <w:rPr/>
        <w:t>Instalacja będzie wykorzystywać jako podstawowy materiał wsadowy paliwo alternatywne</w:t>
        <w:br/>
        <w:t xml:space="preserve">o kodzie 19 12 10. Inwestor przewiduje stosowanie jako paliwa mokrej biomasy leśnej w ilości nie przekraczającej 10% całkowitej masy spalanego paliwa. </w:t>
      </w:r>
    </w:p>
    <w:p>
      <w:pPr>
        <w:pStyle w:val="Normal"/>
        <w:rPr/>
      </w:pPr>
      <w:r>
        <w:rPr/>
        <w:t>Do obliczeń przyjęto wariant, w którym 100% spalanego paliwa stanowi RDF, ponieważ jest to wariant najbardziej niekorzystny dla środowiska – w takiej sytuacji emisje będą najwyższe.</w:t>
      </w:r>
    </w:p>
    <w:p>
      <w:pPr>
        <w:pStyle w:val="Normal"/>
        <w:rPr/>
      </w:pPr>
      <w:r>
        <w:rPr/>
        <w:t>Inwestor nie przewiduje możliwości spalania w instalacji samej biomasy, w związku z tym nie uwzględniono takiego wariantu w obliczeniach.</w:t>
      </w:r>
    </w:p>
    <w:p>
      <w:pPr>
        <w:pStyle w:val="Normal"/>
        <w:rPr/>
      </w:pPr>
      <w:r>
        <w:rPr/>
        <w:t>Emisję godzinową zanieczyszczeń obliczono w oparciu o standardy emisyjne, określone</w:t>
        <w:br/>
        <w:t xml:space="preserve">w załączniku nr 7 do Rozporządzenia Ministra Środowiska z dnia 1 marca 2018 roku </w:t>
      </w:r>
      <w:r>
        <w:rPr>
          <w:i/>
        </w:rPr>
        <w:t xml:space="preserve">w sprawie standardów emisyjnych dla niektórych rodzajów instalacji, źródeł spalania paliw oraz urządzeń spalania lub współspalania odpadów </w:t>
      </w:r>
      <w:r>
        <w:rPr/>
        <w:t>(Dz.U.2018, poz. 680) oraz maksymalny przepływ spalin.</w:t>
      </w:r>
    </w:p>
    <w:p>
      <w:pPr>
        <w:pStyle w:val="Normal"/>
        <w:rPr/>
      </w:pPr>
      <w:r>
        <w:rPr/>
        <w:t>Według danych Inwestora maksymalny przepływ spalin to 12 000 Nm</w:t>
      </w:r>
      <w:r>
        <w:rPr>
          <w:vertAlign w:val="superscript"/>
        </w:rPr>
        <w:t>3</w:t>
      </w:r>
      <w:r>
        <w:rPr/>
        <w:t>/h. Standardy emisyjne są natomiast podawane w warunkach umownych przy zawartości 11% tlenu w spalinach.</w:t>
      </w:r>
    </w:p>
    <w:p>
      <w:pPr>
        <w:pStyle w:val="Normal"/>
        <w:rPr/>
      </w:pPr>
      <w:r>
        <w:rPr/>
        <w:t>Pomocniczo do obliczeń w niniejszej dokumentacji wykorzystano dodatkowo sprawozdanie z pomiarów emisji, wykonanych na instalacji do termicznego przetwarzania paliwa alternatywnego w Zielonej Górze, która jest analogiczna technologicznie do planowanej instalacji (Załącznik nr 9).</w:t>
      </w:r>
    </w:p>
    <w:p>
      <w:pPr>
        <w:pStyle w:val="Normal"/>
        <w:rPr/>
      </w:pPr>
      <w:r>
        <w:rPr/>
        <w:t>Pomiary były wykonywane w następujących warunkach:</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 xml:space="preserve">urządzenia oczyszczające gazy odlotowe: </w:t>
      </w:r>
      <w:r>
        <w:rPr>
          <w:rFonts w:cs="Times New Roman" w:ascii="Times New Roman" w:hAnsi="Times New Roman"/>
          <w:sz w:val="24"/>
          <w:szCs w:val="24"/>
          <w:u w:val="single"/>
        </w:rPr>
        <w:t>brak</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obciążenie instalacji w trakcie wykonywania pomiarów: 250 kg/h</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rodzaj paliwa: paliwo alternatywne o kodzie 19 12 10</w:t>
      </w:r>
    </w:p>
    <w:p>
      <w:pPr>
        <w:pStyle w:val="Normal"/>
        <w:rPr/>
      </w:pPr>
      <w:r>
        <w:rPr/>
        <w:t>Pomiary metali ciężkich zostały wykonane przy zawartości tlenu równej 17,45%.</w:t>
      </w:r>
    </w:p>
    <w:p>
      <w:pPr>
        <w:pStyle w:val="Normal"/>
        <w:rPr/>
      </w:pPr>
      <w:r>
        <w:rPr/>
        <w:t>Do obliczeń emisji w niniejszym opracowaniu założono, że podany przez Inwestora przepływ spalin równy 12 000 Nm</w:t>
      </w:r>
      <w:r>
        <w:rPr>
          <w:vertAlign w:val="superscript"/>
        </w:rPr>
        <w:t>3</w:t>
      </w:r>
      <w:r>
        <w:rPr/>
        <w:t>/h odniesiony jest do zawartości tlenu równej 17,45%.</w:t>
      </w:r>
    </w:p>
    <w:p>
      <w:pPr>
        <w:pStyle w:val="Normal"/>
        <w:rPr/>
      </w:pPr>
      <w:r>
        <w:rPr/>
        <w:t>Przeliczono zatem standardy emisyjne przy zawartości tlenu 11% na zawartość tlenu 17,45%, według poniższego wzoru:</w:t>
      </w:r>
    </w:p>
    <w:p>
      <w:pPr>
        <w:pStyle w:val="Tretekstu"/>
        <w:jc w:val="left"/>
        <w:rPr>
          <w:szCs w:val="24"/>
        </w:rPr>
      </w:pPr>
      <w:r>
        <w:rPr/>
      </w:r>
      <m:oMath xmlns:m="http://schemas.openxmlformats.org/officeDocument/2006/math">
        <m:r>
          <w:rPr>
            <w:rFonts w:ascii="Cambria Math" w:hAnsi="Cambria Math"/>
          </w:rPr>
          <m:t xml:space="preserve">C</m:t>
        </m:r>
        <m:r>
          <m:t xml:space="preserve"> </m:t>
        </m:r>
        <m:d>
          <m:dPr>
            <m:begChr m:val="["/>
            <m:endChr m:val="]"/>
          </m:dPr>
          <m:e>
            <m:f>
              <m:num>
                <m:r>
                  <m:rPr>
                    <m:lit/>
                    <m:nor/>
                  </m:rPr>
                  <w:rPr>
                    <w:rFonts w:ascii="Cambria Math" w:hAnsi="Cambria Math"/>
                  </w:rPr>
                  <m:t xml:space="preserve">mg</m:t>
                </m:r>
              </m:num>
              <m:den>
                <m:sSup>
                  <m:e>
                    <m:r>
                      <m:rPr>
                        <m:lit/>
                        <m:nor/>
                      </m:rPr>
                      <w:rPr>
                        <w:rFonts w:ascii="Cambria Math" w:hAnsi="Cambria Math"/>
                      </w:rPr>
                      <m:t xml:space="preserve">Nm</m:t>
                    </m:r>
                  </m:e>
                  <m:sup>
                    <m:r>
                      <w:rPr>
                        <w:rFonts w:ascii="Cambria Math" w:hAnsi="Cambria Math"/>
                      </w:rPr>
                      <m:t xml:space="preserve">3</m:t>
                    </m:r>
                  </m:sup>
                </m:sSup>
              </m:den>
            </m:f>
          </m:e>
        </m:d>
        <m:r>
          <w:rPr>
            <w:rFonts w:ascii="Cambria Math" w:hAnsi="Cambria Math"/>
          </w:rPr>
          <m:t xml:space="preserve">=</m:t>
        </m:r>
        <m:f>
          <m:fPr>
            <m:type m:val="lin"/>
          </m:fPr>
          <m:num>
            <m:sSub>
              <m:e>
                <m:r>
                  <w:rPr>
                    <w:rFonts w:ascii="Cambria Math" w:hAnsi="Cambria Math"/>
                  </w:rPr>
                  <m:t xml:space="preserve">C</m:t>
                </m:r>
              </m:e>
              <m:sub>
                <m:r>
                  <m:rPr>
                    <m:lit/>
                    <m:nor/>
                  </m:rPr>
                  <w:rPr>
                    <w:rFonts w:ascii="Cambria Math" w:hAnsi="Cambria Math"/>
                  </w:rPr>
                  <m:t xml:space="preserve">odn</m:t>
                </m:r>
              </m:sub>
            </m:sSub>
          </m:num>
          <m:den>
            <m:f>
              <m:num>
                <m:r>
                  <m:rPr>
                    <m:lit/>
                    <m:nor/>
                  </m:rPr>
                  <w:rPr>
                    <w:rFonts w:ascii="Cambria Math" w:hAnsi="Cambria Math"/>
                  </w:rPr>
                  <m:t xml:space="preserve">20</m:t>
                </m:r>
                <m:r>
                  <w:rPr>
                    <w:rFonts w:ascii="Cambria Math" w:hAnsi="Cambria Math"/>
                  </w:rPr>
                  <m:t xml:space="preserve">,</m:t>
                </m:r>
                <m:r>
                  <m:rPr>
                    <m:lit/>
                    <m:nor/>
                  </m:rPr>
                  <w:rPr>
                    <w:rFonts w:ascii="Cambria Math" w:hAnsi="Cambria Math"/>
                  </w:rPr>
                  <m:t xml:space="preserve">95</m:t>
                </m:r>
                <m:r>
                  <m:rPr>
                    <m:lit/>
                    <m:nor/>
                  </m:rPr>
                  <w:rPr>
                    <w:rFonts w:ascii="Cambria Math" w:hAnsi="Cambria Math"/>
                  </w:rPr>
                  <m:t xml:space="preserve"/>
                </m:r>
                <m:r>
                  <w:rPr>
                    <w:rFonts w:ascii="Cambria Math" w:hAnsi="Cambria Math"/>
                  </w:rPr>
                  <m:t xml:space="preserve">−</m:t>
                </m:r>
                <m:sSub>
                  <m:e>
                    <m:r>
                      <w:rPr>
                        <w:rFonts w:ascii="Cambria Math" w:hAnsi="Cambria Math"/>
                      </w:rPr>
                      <m:t xml:space="preserve">O</m:t>
                    </m:r>
                  </m:e>
                  <m:sub>
                    <m:r>
                      <w:rPr>
                        <w:rFonts w:ascii="Cambria Math" w:hAnsi="Cambria Math"/>
                      </w:rPr>
                      <m:t xml:space="preserve">2</m:t>
                    </m:r>
                    <m:r>
                      <m:t xml:space="preserve"> </m:t>
                    </m:r>
                    <m:r>
                      <m:rPr>
                        <m:lit/>
                        <m:nor/>
                      </m:rPr>
                      <w:rPr>
                        <w:rFonts w:ascii="Cambria Math" w:hAnsi="Cambria Math"/>
                      </w:rPr>
                      <m:t xml:space="preserve">odn</m:t>
                    </m:r>
                  </m:sub>
                </m:sSub>
              </m:num>
              <m:den>
                <m:r>
                  <m:rPr>
                    <m:lit/>
                    <m:nor/>
                  </m:rPr>
                  <w:rPr>
                    <w:rFonts w:ascii="Cambria Math" w:hAnsi="Cambria Math"/>
                  </w:rPr>
                  <m:t xml:space="preserve">20</m:t>
                </m:r>
                <m:r>
                  <w:rPr>
                    <w:rFonts w:ascii="Cambria Math" w:hAnsi="Cambria Math"/>
                  </w:rPr>
                  <m:t xml:space="preserve">,</m:t>
                </m:r>
                <m:r>
                  <m:rPr>
                    <m:lit/>
                    <m:nor/>
                  </m:rPr>
                  <w:rPr>
                    <w:rFonts w:ascii="Cambria Math" w:hAnsi="Cambria Math"/>
                  </w:rPr>
                  <m:t xml:space="preserve">95</m:t>
                </m:r>
                <m:r>
                  <m:rPr>
                    <m:lit/>
                    <m:nor/>
                  </m:rPr>
                  <w:rPr>
                    <w:rFonts w:ascii="Cambria Math" w:hAnsi="Cambria Math"/>
                  </w:rPr>
                  <m:t xml:space="preserve"/>
                </m:r>
                <m:r>
                  <w:rPr>
                    <w:rFonts w:ascii="Cambria Math" w:hAnsi="Cambria Math"/>
                  </w:rPr>
                  <m:t xml:space="preserve">−</m:t>
                </m:r>
                <m:sSub>
                  <m:e>
                    <m:r>
                      <w:rPr>
                        <w:rFonts w:ascii="Cambria Math" w:hAnsi="Cambria Math"/>
                      </w:rPr>
                      <m:t xml:space="preserve">O</m:t>
                    </m:r>
                  </m:e>
                  <m:sub>
                    <m:r>
                      <w:rPr>
                        <w:rFonts w:ascii="Cambria Math" w:hAnsi="Cambria Math"/>
                      </w:rPr>
                      <m:t xml:space="preserve">2</m:t>
                    </m:r>
                    <m:r>
                      <m:t xml:space="preserve"> </m:t>
                    </m:r>
                    <m:r>
                      <m:rPr>
                        <m:lit/>
                        <m:nor/>
                      </m:rPr>
                      <w:rPr>
                        <w:rFonts w:ascii="Cambria Math" w:hAnsi="Cambria Math"/>
                      </w:rPr>
                      <m:t xml:space="preserve">zmierz</m:t>
                    </m:r>
                  </m:sub>
                </m:sSub>
              </m:den>
            </m:f>
          </m:den>
        </m:f>
        <m:r>
          <m:t xml:space="preserve"> </m:t>
        </m:r>
        <m:d>
          <m:dPr>
            <m:begChr m:val="["/>
            <m:endChr m:val="]"/>
          </m:dPr>
          <m:e>
            <m:f>
              <m:num>
                <m:r>
                  <m:rPr>
                    <m:lit/>
                    <m:nor/>
                  </m:rPr>
                  <w:rPr>
                    <w:rFonts w:ascii="Cambria Math" w:hAnsi="Cambria Math"/>
                  </w:rPr>
                  <m:t xml:space="preserve">mg</m:t>
                </m:r>
              </m:num>
              <m:den>
                <m:sSup>
                  <m:e>
                    <m:r>
                      <m:rPr>
                        <m:lit/>
                        <m:nor/>
                      </m:rPr>
                      <w:rPr>
                        <w:rFonts w:ascii="Cambria Math" w:hAnsi="Cambria Math"/>
                      </w:rPr>
                      <m:t xml:space="preserve">Nm</m:t>
                    </m:r>
                  </m:e>
                  <m:sup>
                    <m:r>
                      <w:rPr>
                        <w:rFonts w:ascii="Cambria Math" w:hAnsi="Cambria Math"/>
                      </w:rPr>
                      <m:t xml:space="preserve">3</m:t>
                    </m:r>
                  </m:sup>
                </m:sSup>
              </m:den>
            </m:f>
          </m:e>
        </m:d>
      </m:oMath>
    </w:p>
    <w:p>
      <w:pPr>
        <w:pStyle w:val="Normal"/>
        <w:ind w:left="360" w:hanging="0"/>
        <w:jc w:val="left"/>
        <w:rPr>
          <w:sz w:val="20"/>
        </w:rPr>
      </w:pPr>
      <w:r>
        <w:rPr>
          <w:sz w:val="20"/>
        </w:rPr>
        <w:t>Gdzie:</w:t>
      </w:r>
    </w:p>
    <w:p>
      <w:pPr>
        <w:pStyle w:val="Normal"/>
        <w:ind w:left="360" w:hanging="0"/>
        <w:jc w:val="left"/>
        <w:rPr>
          <w:sz w:val="20"/>
        </w:rPr>
      </w:pPr>
      <w:r>
        <w:rPr>
          <w:sz w:val="20"/>
        </w:rPr>
        <w:t xml:space="preserve">C </w:t>
      </w:r>
      <w:r>
        <w:rPr>
          <w:sz w:val="20"/>
          <w:vertAlign w:val="subscript"/>
        </w:rPr>
        <w:t>odn</w:t>
        <w:tab/>
      </w:r>
      <w:r>
        <w:rPr>
          <w:sz w:val="20"/>
        </w:rPr>
        <w:t>stężenie zanieczyszczenia przy tlenie odniesienia [mg/Nm</w:t>
      </w:r>
      <w:r>
        <w:rPr>
          <w:sz w:val="20"/>
          <w:vertAlign w:val="superscript"/>
        </w:rPr>
        <w:t>3</w:t>
      </w:r>
      <w:r>
        <w:rPr>
          <w:sz w:val="20"/>
        </w:rPr>
        <w:t>]</w:t>
      </w:r>
    </w:p>
    <w:p>
      <w:pPr>
        <w:pStyle w:val="Normal"/>
        <w:ind w:left="360" w:hanging="0"/>
        <w:jc w:val="left"/>
        <w:rPr>
          <w:sz w:val="20"/>
        </w:rPr>
      </w:pPr>
      <w:r>
        <w:rPr>
          <w:sz w:val="20"/>
        </w:rPr>
        <w:t>C</w:t>
        <w:tab/>
        <w:tab/>
        <w:t>stężenie zanieczyszczenia w spalinach [mg/Nm</w:t>
      </w:r>
      <w:r>
        <w:rPr>
          <w:sz w:val="20"/>
          <w:vertAlign w:val="superscript"/>
        </w:rPr>
        <w:t>3</w:t>
      </w:r>
      <w:r>
        <w:rPr>
          <w:sz w:val="20"/>
        </w:rPr>
        <w:t>]</w:t>
      </w:r>
    </w:p>
    <w:p>
      <w:pPr>
        <w:pStyle w:val="Normal"/>
        <w:ind w:left="360" w:hanging="0"/>
        <w:jc w:val="left"/>
        <w:rPr>
          <w:sz w:val="20"/>
        </w:rPr>
      </w:pPr>
      <w:r>
        <w:rPr>
          <w:sz w:val="20"/>
        </w:rPr>
        <w:t>O</w:t>
      </w:r>
      <w:r>
        <w:rPr>
          <w:sz w:val="20"/>
          <w:vertAlign w:val="subscript"/>
        </w:rPr>
        <w:t>2 odn</w:t>
      </w:r>
      <w:r>
        <w:rPr>
          <w:sz w:val="20"/>
        </w:rPr>
        <w:t xml:space="preserve"> </w:t>
        <w:tab/>
        <w:t>tlen odniesienia [%]</w:t>
      </w:r>
    </w:p>
    <w:p>
      <w:pPr>
        <w:pStyle w:val="Normal"/>
        <w:ind w:left="360" w:hanging="0"/>
        <w:jc w:val="left"/>
        <w:rPr>
          <w:sz w:val="20"/>
        </w:rPr>
      </w:pPr>
      <w:r>
        <w:rPr>
          <w:sz w:val="20"/>
        </w:rPr>
        <w:t>O</w:t>
      </w:r>
      <w:r>
        <w:rPr>
          <w:sz w:val="20"/>
          <w:vertAlign w:val="subscript"/>
        </w:rPr>
        <w:t>2 zmierz</w:t>
      </w:r>
      <w:r>
        <w:rPr>
          <w:sz w:val="20"/>
        </w:rPr>
        <w:t xml:space="preserve"> </w:t>
        <w:tab/>
        <w:t>zmierzona zawartość tlenu w spalinach [%]</w:t>
      </w:r>
    </w:p>
    <w:p>
      <w:pPr>
        <w:pStyle w:val="Normal"/>
        <w:ind w:left="360" w:hanging="0"/>
        <w:jc w:val="left"/>
        <w:rPr>
          <w:sz w:val="20"/>
        </w:rPr>
      </w:pPr>
      <w:r>
        <w:rPr>
          <w:sz w:val="20"/>
        </w:rPr>
        <w:t xml:space="preserve">20,95% </w:t>
        <w:tab/>
        <w:t>zawartość tlenu w czystym powietrzu [%]</w:t>
      </w:r>
    </w:p>
    <w:p>
      <w:pPr>
        <w:pStyle w:val="Tretekstu"/>
        <w:jc w:val="left"/>
        <w:rPr/>
      </w:pPr>
      <w:r>
        <w:rPr/>
      </w:r>
      <m:oMath xmlns:m="http://schemas.openxmlformats.org/officeDocument/2006/math">
        <m:f>
          <m:num>
            <m:r>
              <m:rPr>
                <m:lit/>
                <m:nor/>
              </m:rPr>
              <w:rPr>
                <w:rFonts w:ascii="Cambria Math" w:hAnsi="Cambria Math"/>
              </w:rPr>
              <m:t xml:space="preserve">20</m:t>
            </m:r>
            <m:r>
              <w:rPr>
                <w:rFonts w:ascii="Cambria Math" w:hAnsi="Cambria Math"/>
              </w:rPr>
              <m:t xml:space="preserve">,</m:t>
            </m:r>
            <m:r>
              <m:rPr>
                <m:lit/>
                <m:nor/>
              </m:rPr>
              <w:rPr>
                <w:rFonts w:ascii="Cambria Math" w:hAnsi="Cambria Math"/>
              </w:rPr>
              <m:t xml:space="preserve">95</m:t>
            </m:r>
            <m:r>
              <m:rPr>
                <m:lit/>
                <m:nor/>
              </m:rPr>
              <w:rPr>
                <w:rFonts w:ascii="Cambria Math" w:hAnsi="Cambria Math"/>
              </w:rPr>
              <m:t xml:space="preserve"/>
            </m:r>
            <m:r>
              <w:rPr>
                <w:rFonts w:ascii="Cambria Math" w:hAnsi="Cambria Math"/>
              </w:rPr>
              <m:t xml:space="preserve">−</m:t>
            </m:r>
            <m:sSub>
              <m:e>
                <m:r>
                  <w:rPr>
                    <w:rFonts w:ascii="Cambria Math" w:hAnsi="Cambria Math"/>
                  </w:rPr>
                  <m:t xml:space="preserve">O</m:t>
                </m:r>
              </m:e>
              <m:sub>
                <m:r>
                  <w:rPr>
                    <w:rFonts w:ascii="Cambria Math" w:hAnsi="Cambria Math"/>
                  </w:rPr>
                  <m:t xml:space="preserve">2</m:t>
                </m:r>
                <m:r>
                  <m:t xml:space="preserve"> </m:t>
                </m:r>
                <m:r>
                  <m:rPr>
                    <m:lit/>
                    <m:nor/>
                  </m:rPr>
                  <w:rPr>
                    <w:rFonts w:ascii="Cambria Math" w:hAnsi="Cambria Math"/>
                  </w:rPr>
                  <m:t xml:space="preserve">odn</m:t>
                </m:r>
              </m:sub>
            </m:sSub>
          </m:num>
          <m:den>
            <m:r>
              <m:rPr>
                <m:lit/>
                <m:nor/>
              </m:rPr>
              <w:rPr>
                <w:rFonts w:ascii="Cambria Math" w:hAnsi="Cambria Math"/>
              </w:rPr>
              <m:t xml:space="preserve">20</m:t>
            </m:r>
            <m:r>
              <w:rPr>
                <w:rFonts w:ascii="Cambria Math" w:hAnsi="Cambria Math"/>
              </w:rPr>
              <m:t xml:space="preserve">,</m:t>
            </m:r>
            <m:r>
              <m:rPr>
                <m:lit/>
                <m:nor/>
              </m:rPr>
              <w:rPr>
                <w:rFonts w:ascii="Cambria Math" w:hAnsi="Cambria Math"/>
              </w:rPr>
              <m:t xml:space="preserve">95</m:t>
            </m:r>
            <m:r>
              <m:rPr>
                <m:lit/>
                <m:nor/>
              </m:rPr>
              <w:rPr>
                <w:rFonts w:ascii="Cambria Math" w:hAnsi="Cambria Math"/>
              </w:rPr>
              <m:t xml:space="preserve"/>
            </m:r>
            <m:r>
              <w:rPr>
                <w:rFonts w:ascii="Cambria Math" w:hAnsi="Cambria Math"/>
              </w:rPr>
              <m:t xml:space="preserve">−</m:t>
            </m:r>
            <m:sSub>
              <m:e>
                <m:r>
                  <w:rPr>
                    <w:rFonts w:ascii="Cambria Math" w:hAnsi="Cambria Math"/>
                  </w:rPr>
                  <m:t xml:space="preserve">O</m:t>
                </m:r>
              </m:e>
              <m:sub>
                <m:r>
                  <w:rPr>
                    <w:rFonts w:ascii="Cambria Math" w:hAnsi="Cambria Math"/>
                  </w:rPr>
                  <m:t xml:space="preserve">2</m:t>
                </m:r>
                <m:r>
                  <m:t xml:space="preserve"> </m:t>
                </m:r>
                <m:r>
                  <m:rPr>
                    <m:lit/>
                    <m:nor/>
                  </m:rPr>
                  <w:rPr>
                    <w:rFonts w:ascii="Cambria Math" w:hAnsi="Cambria Math"/>
                  </w:rPr>
                  <m:t xml:space="preserve">zmierz</m:t>
                </m:r>
              </m:sub>
            </m:sSub>
          </m:den>
        </m:f>
        <m:r>
          <w:rPr>
            <w:rFonts w:ascii="Cambria Math" w:hAnsi="Cambria Math"/>
          </w:rPr>
          <m:t xml:space="preserve">=</m:t>
        </m:r>
        <m:f>
          <m:num>
            <m:r>
              <m:rPr>
                <m:lit/>
                <m:nor/>
              </m:rPr>
              <w:rPr>
                <w:rFonts w:ascii="Cambria Math" w:hAnsi="Cambria Math"/>
              </w:rPr>
              <m:t xml:space="preserve">20</m:t>
            </m:r>
            <m:r>
              <w:rPr>
                <w:rFonts w:ascii="Cambria Math" w:hAnsi="Cambria Math"/>
              </w:rPr>
              <m:t xml:space="preserve">,</m:t>
            </m:r>
            <m:r>
              <m:rPr>
                <m:lit/>
                <m:nor/>
              </m:rPr>
              <w:rPr>
                <w:rFonts w:ascii="Cambria Math" w:hAnsi="Cambria Math"/>
              </w:rPr>
              <m:t xml:space="preserve">95</m:t>
            </m:r>
            <m:r>
              <m:rPr>
                <m:lit/>
                <m:nor/>
              </m:rPr>
              <w:rPr>
                <w:rFonts w:ascii="Cambria Math" w:hAnsi="Cambria Math"/>
              </w:rPr>
              <m:t xml:space="preserve"/>
            </m:r>
            <m:r>
              <w:rPr>
                <w:rFonts w:ascii="Cambria Math" w:hAnsi="Cambria Math"/>
              </w:rPr>
              <m:t xml:space="preserve">−</m:t>
            </m:r>
            <m:r>
              <m:rPr>
                <m:lit/>
                <m:nor/>
              </m:rPr>
              <w:rPr>
                <w:rFonts w:ascii="Cambria Math" w:hAnsi="Cambria Math"/>
              </w:rPr>
              <m:t xml:space="preserve">11</m:t>
            </m:r>
            <m:r>
              <m:rPr>
                <m:lit/>
                <m:nor/>
              </m:rPr>
              <w:rPr>
                <w:rFonts w:ascii="Cambria Math" w:hAnsi="Cambria Math"/>
              </w:rPr>
              <m:t xml:space="preserve"/>
            </m:r>
          </m:num>
          <m:den>
            <m:r>
              <m:rPr>
                <m:lit/>
                <m:nor/>
              </m:rPr>
              <w:rPr>
                <w:rFonts w:ascii="Cambria Math" w:hAnsi="Cambria Math"/>
              </w:rPr>
              <m:t xml:space="preserve">20</m:t>
            </m:r>
            <m:r>
              <w:rPr>
                <w:rFonts w:ascii="Cambria Math" w:hAnsi="Cambria Math"/>
              </w:rPr>
              <m:t xml:space="preserve">,</m:t>
            </m:r>
            <m:r>
              <m:rPr>
                <m:lit/>
                <m:nor/>
              </m:rPr>
              <w:rPr>
                <w:rFonts w:ascii="Cambria Math" w:hAnsi="Cambria Math"/>
              </w:rPr>
              <m:t xml:space="preserve">95</m:t>
            </m:r>
            <m:r>
              <m:rPr>
                <m:lit/>
                <m:nor/>
              </m:rPr>
              <w:rPr>
                <w:rFonts w:ascii="Cambria Math" w:hAnsi="Cambria Math"/>
              </w:rPr>
              <m:t xml:space="preserve"/>
            </m:r>
            <m:r>
              <w:rPr>
                <w:rFonts w:ascii="Cambria Math" w:hAnsi="Cambria Math"/>
              </w:rPr>
              <m:t xml:space="preserve">−</m:t>
            </m:r>
            <m:r>
              <m:rPr>
                <m:lit/>
                <m:nor/>
              </m:rPr>
              <w:rPr>
                <w:rFonts w:ascii="Cambria Math" w:hAnsi="Cambria Math"/>
              </w:rPr>
              <m:t xml:space="preserve">17</m:t>
            </m:r>
            <m:r>
              <w:rPr>
                <w:rFonts w:ascii="Cambria Math" w:hAnsi="Cambria Math"/>
              </w:rPr>
              <m:t xml:space="preserve">,</m:t>
            </m:r>
            <m:r>
              <m:rPr>
                <m:lit/>
                <m:nor/>
              </m:rPr>
              <w:rPr>
                <w:rFonts w:ascii="Cambria Math" w:hAnsi="Cambria Math"/>
              </w:rPr>
              <m:t xml:space="preserve">45</m:t>
            </m:r>
            <m:r>
              <m:rPr>
                <m:lit/>
                <m:nor/>
              </m:rPr>
              <w:rPr>
                <w:rFonts w:ascii="Cambria Math" w:hAnsi="Cambria Math"/>
              </w:rPr>
              <m:t xml:space="preserve"/>
            </m:r>
          </m:den>
        </m:f>
        <m:r>
          <w:rPr>
            <w:rFonts w:ascii="Cambria Math" w:hAnsi="Cambria Math"/>
          </w:rPr>
          <m:t xml:space="preserve">=</m:t>
        </m:r>
        <m:r>
          <w:rPr>
            <w:rFonts w:ascii="Cambria Math" w:hAnsi="Cambria Math"/>
          </w:rPr>
          <m:t xml:space="preserve">2</m:t>
        </m:r>
        <m:r>
          <w:rPr>
            <w:rFonts w:ascii="Cambria Math" w:hAnsi="Cambria Math"/>
          </w:rPr>
          <m:t xml:space="preserve">,</m:t>
        </m:r>
        <m:r>
          <m:rPr>
            <m:lit/>
            <m:nor/>
          </m:rPr>
          <w:rPr>
            <w:rFonts w:ascii="Cambria Math" w:hAnsi="Cambria Math"/>
          </w:rPr>
          <m:t xml:space="preserve">84</m:t>
        </m:r>
      </m:oMath>
    </w:p>
    <w:p>
      <w:pPr>
        <w:pStyle w:val="Normal"/>
        <w:rPr/>
      </w:pPr>
      <w:r>
        <w:rPr/>
      </w:r>
    </w:p>
    <w:p>
      <w:pPr>
        <w:pStyle w:val="Normal"/>
        <w:rPr/>
      </w:pPr>
      <w:r>
        <w:rPr/>
        <w:t>Aby zatem otrzymać stężenie przy zawartości 17,45% tlenu, należy podzielić stężenie przy zawartości 11% tlenu przez współczynnik 2,84.</w:t>
      </w:r>
    </w:p>
    <w:p>
      <w:pPr>
        <w:pStyle w:val="Normal"/>
        <w:rPr/>
      </w:pPr>
      <w:r>
        <w:rPr/>
        <w:t>W poniższej tabeli przedstawiono wykorzystane do obliczeń stężenia przy zawartości 11% tlenu (standardy emisyjne), przeliczone na zawartość tlenu równą 17,45%</w:t>
      </w:r>
    </w:p>
    <w:p>
      <w:pPr>
        <w:pStyle w:val="Normal"/>
        <w:rPr/>
      </w:pPr>
      <w:r>
        <w:rPr/>
      </w:r>
    </w:p>
    <w:p>
      <w:pPr>
        <w:pStyle w:val="Stopka"/>
        <w:spacing w:before="0" w:after="60"/>
        <w:ind w:hanging="0"/>
        <w:rPr>
          <w:b/>
          <w:b/>
          <w:u w:val="single"/>
        </w:rPr>
      </w:pPr>
      <w:r>
        <w:rPr>
          <w:b/>
          <w:u w:val="single"/>
        </w:rPr>
        <w:t>Maksymalna emisja godzinowa</w:t>
      </w:r>
    </w:p>
    <w:p>
      <w:pPr>
        <w:pStyle w:val="Normal"/>
        <w:rPr/>
      </w:pPr>
      <w:r>
        <w:rPr/>
        <w:t>Maksymalną emisję godzinową pyłu, chlorowodoru, fluorowodoru, dwutlenku siarki, tlenków azotu i tlenku węgla obliczono mnożąc standardy emisyjne średnie trzydziestominutowe „A”, przeliczone na zawartość tlenu 17,45%, przez nominalny przepływ spalin równy 12 000 Nm</w:t>
      </w:r>
      <w:r>
        <w:rPr>
          <w:vertAlign w:val="superscript"/>
        </w:rPr>
        <w:t>3</w:t>
      </w:r>
      <w:r>
        <w:rPr/>
        <w:t xml:space="preserve">/h. </w:t>
      </w:r>
    </w:p>
    <w:p>
      <w:pPr>
        <w:pStyle w:val="Normal"/>
        <w:rPr/>
      </w:pPr>
      <w:r>
        <w:rPr/>
      </w:r>
    </w:p>
    <w:p>
      <w:pPr>
        <w:pStyle w:val="Normal"/>
        <w:rPr/>
      </w:pPr>
      <w:r>
        <w:rPr/>
        <w:t>W przypadku pyłu przyjęto, że pył PM10 stanowi 100% pyłu całkowitego, a pył PM2,5 – 100% pyłu PM10.</w:t>
      </w:r>
    </w:p>
    <w:p>
      <w:pPr>
        <w:pStyle w:val="Normal"/>
        <w:rPr/>
      </w:pPr>
      <w:r>
        <w:rPr/>
        <w:t>Ponadto wiadomo, na podstawie publikacji „</w:t>
      </w:r>
      <w:r>
        <w:rPr>
          <w:i/>
        </w:rPr>
        <w:t>Procesy katalityczne i adsorpcyjne w ochronie środowiska</w:t>
      </w:r>
      <w:r>
        <w:rPr/>
        <w:t>”, prof. Janusz Trawczyński, Zakład Chemii i Technologii Paliw, Wydział Chemiczny Politechniki Wrocławskiej, że tlenki azotu emitowane z systemów spalania, składają się głównie z NO, z niewielkim udziałem NO</w:t>
      </w:r>
      <w:r>
        <w:rPr>
          <w:vertAlign w:val="subscript"/>
        </w:rPr>
        <w:t>2</w:t>
      </w:r>
      <w:r>
        <w:rPr/>
        <w:t xml:space="preserve"> (ok. 5%). Do obliczeń przyjęto wartość mniej korzystną – przyjęto, że emisja dwutlenku azotu stanowi 10% emisji tlenków azotu.</w:t>
      </w:r>
    </w:p>
    <w:p>
      <w:pPr>
        <w:pStyle w:val="Normal"/>
        <w:rPr/>
      </w:pPr>
      <w:r>
        <w:rPr/>
        <w:t xml:space="preserve">Dla kadmu i talu przyjęto stężenie równe połowie dopuszczalnego stężenia dla sumy tych metali, tj. przyjęto dla każdego z obu metali stężenie równe: </w:t>
      </w:r>
      <w:r>
        <w:rPr/>
      </w:r>
      <m:oMath xmlns:m="http://schemas.openxmlformats.org/officeDocument/2006/math">
        <m:f>
          <m:num>
            <m:r>
              <w:rPr>
                <w:rFonts w:ascii="Cambria Math" w:hAnsi="Cambria Math"/>
              </w:rPr>
              <m:t xml:space="preserve">0</m:t>
            </m:r>
            <m:r>
              <w:rPr>
                <w:rFonts w:ascii="Cambria Math" w:hAnsi="Cambria Math"/>
              </w:rPr>
              <m:t xml:space="preserve">,</m:t>
            </m:r>
            <m:r>
              <m:rPr>
                <m:lit/>
                <m:nor/>
              </m:rPr>
              <w:rPr>
                <w:rFonts w:ascii="Cambria Math" w:hAnsi="Cambria Math"/>
              </w:rPr>
              <m:t xml:space="preserve">0176</m:t>
            </m:r>
            <m:f>
              <m:num>
                <m:r>
                  <m:rPr>
                    <m:lit/>
                    <m:nor/>
                  </m:rPr>
                  <w:rPr>
                    <w:rFonts w:ascii="Cambria Math" w:hAnsi="Cambria Math"/>
                  </w:rPr>
                  <m:t xml:space="preserve">mg</m:t>
                </m:r>
              </m:num>
              <m:den>
                <m:sSup>
                  <m:e>
                    <m:r>
                      <m:rPr>
                        <m:lit/>
                        <m:nor/>
                      </m:rPr>
                      <w:rPr>
                        <w:rFonts w:ascii="Cambria Math" w:hAnsi="Cambria Math"/>
                      </w:rPr>
                      <m:t xml:space="preserve">Nm</m:t>
                    </m:r>
                  </m:e>
                  <m:sup>
                    <m:r>
                      <w:rPr>
                        <w:rFonts w:ascii="Cambria Math" w:hAnsi="Cambria Math"/>
                      </w:rPr>
                      <m:t xml:space="preserve">3</m:t>
                    </m:r>
                  </m:sup>
                </m:sSup>
              </m:den>
            </m:f>
          </m:num>
          <m:den>
            <m:r>
              <w:rPr>
                <w:rFonts w:ascii="Cambria Math" w:hAnsi="Cambria Math"/>
              </w:rPr>
              <m:t xml:space="preserve">2</m:t>
            </m:r>
          </m:den>
        </m:f>
        <m:r>
          <w:rPr>
            <w:rFonts w:ascii="Cambria Math" w:hAnsi="Cambria Math"/>
          </w:rPr>
          <m:t xml:space="preserve">=</m:t>
        </m:r>
        <m:r>
          <w:rPr>
            <w:rFonts w:ascii="Cambria Math" w:hAnsi="Cambria Math"/>
          </w:rPr>
          <m:t xml:space="preserve">0</m:t>
        </m:r>
        <m:r>
          <w:rPr>
            <w:rFonts w:ascii="Cambria Math" w:hAnsi="Cambria Math"/>
          </w:rPr>
          <m:t xml:space="preserve">,</m:t>
        </m:r>
        <m:r>
          <m:rPr>
            <m:lit/>
            <m:nor/>
          </m:rPr>
          <w:rPr>
            <w:rFonts w:ascii="Cambria Math" w:hAnsi="Cambria Math"/>
          </w:rPr>
          <m:t xml:space="preserve">0088</m:t>
        </m:r>
        <m:f>
          <m:num>
            <m:r>
              <m:rPr>
                <m:lit/>
                <m:nor/>
              </m:rPr>
              <w:rPr>
                <w:rFonts w:ascii="Cambria Math" w:hAnsi="Cambria Math"/>
              </w:rPr>
              <m:t xml:space="preserve">mg</m:t>
            </m:r>
          </m:num>
          <m:den>
            <m:sSup>
              <m:e>
                <m:r>
                  <m:rPr>
                    <m:lit/>
                    <m:nor/>
                  </m:rPr>
                  <w:rPr>
                    <w:rFonts w:ascii="Cambria Math" w:hAnsi="Cambria Math"/>
                  </w:rPr>
                  <m:t xml:space="preserve">Nm</m:t>
                </m:r>
              </m:e>
              <m:sup>
                <m:r>
                  <w:rPr>
                    <w:rFonts w:ascii="Cambria Math" w:hAnsi="Cambria Math"/>
                  </w:rPr>
                  <m:t xml:space="preserve">3</m:t>
                </m:r>
              </m:sup>
            </m:sSup>
          </m:den>
        </m:f>
      </m:oMath>
      <w:r>
        <w:rPr/>
        <w:t xml:space="preserve"> </w:t>
      </w:r>
    </w:p>
    <w:p>
      <w:pPr>
        <w:pStyle w:val="Normal"/>
        <w:rPr/>
      </w:pPr>
      <w:r>
        <w:rPr/>
      </w:r>
    </w:p>
    <w:p>
      <w:pPr>
        <w:pStyle w:val="Normal"/>
        <w:rPr/>
      </w:pPr>
      <w:r>
        <w:rPr/>
        <w:t>Dla arsenu, ołowiu, chromu, kobaltu, miedzi, manganu, niklu i wanadu standard emisyjny jest podany dla sumy tych metali. W celu określenia emisji poszczególnych metali, wykorzystano pomiary emisji, wykonane na rusztowej instalacji termicznego przekształcania odpadów  w Zielonej Górze, która jest analogiczna technologicznie do planowanej instalacji.  Stężenie stanowiące standard emisyjny dla sumy metali podzielono proporcjonalnie na poszczególne zanieczyszczenia, na podstawie udziałów emisji poszczególnych zanieczyszczeń w sumarycznej emisji metali, zmierzonych na instalacji w Zielonej Górze. Obliczone stężenia dla poszczególnych zanieczyszczeń przeliczono na zawartość tlenu równą 17,45%. Szczegóły w tabeli 28.</w:t>
      </w:r>
    </w:p>
    <w:p>
      <w:pPr>
        <w:sectPr>
          <w:headerReference w:type="even" r:id="rId56"/>
          <w:headerReference w:type="default" r:id="rId57"/>
          <w:footerReference w:type="even" r:id="rId58"/>
          <w:footerReference w:type="default" r:id="rId59"/>
          <w:footnotePr>
            <w:numFmt w:val="decimal"/>
          </w:footnotePr>
          <w:type w:val="nextPage"/>
          <w:pgSz w:w="11906" w:h="16838"/>
          <w:pgMar w:left="1418" w:right="1134" w:header="709" w:top="1418" w:footer="709" w:bottom="1418" w:gutter="0"/>
          <w:pgNumType w:fmt="decimal"/>
          <w:formProt w:val="false"/>
          <w:textDirection w:val="lrTb"/>
          <w:docGrid w:type="default" w:linePitch="360" w:charSpace="4294961151"/>
        </w:sectPr>
        <w:pStyle w:val="Normal"/>
        <w:rPr/>
      </w:pPr>
      <w:r>
        <w:rPr/>
        <w:t>Maksymalną emisję godzinową powyższych metali obliczono mnożąc stężenia przeliczone na zawartość tlenu 17,45%, przez nominalny przepływ spalin równy 12 000 Nm</w:t>
      </w:r>
      <w:r>
        <w:rPr>
          <w:vertAlign w:val="superscript"/>
        </w:rPr>
        <w:t>3</w:t>
      </w:r>
      <w:r>
        <w:rPr/>
        <w:t>/h.</w:t>
      </w:r>
    </w:p>
    <w:p>
      <w:pPr>
        <w:pStyle w:val="Caption"/>
        <w:keepNext/>
        <w:jc w:val="left"/>
        <w:rPr/>
      </w:pPr>
      <w:r>
        <w:rPr/>
        <w:t xml:space="preserve">Tabela </w:t>
      </w:r>
      <w:r>
        <w:rPr/>
        <w:fldChar w:fldCharType="begin"/>
      </w:r>
      <w:r>
        <w:instrText> SEQ Tabela \* ARABIC </w:instrText>
      </w:r>
      <w:r>
        <w:fldChar w:fldCharType="separate"/>
      </w:r>
      <w:r>
        <w:t>27</w:t>
      </w:r>
      <w:r>
        <w:fldChar w:fldCharType="end"/>
      </w:r>
      <w:r>
        <w:rPr/>
        <w:t>.</w:t>
      </w:r>
      <w:r>
        <w:rPr>
          <w:b w:val="false"/>
        </w:rPr>
        <w:t xml:space="preserve"> Standardy emisyjne, przeliczone na 17,45% tlenu</w:t>
      </w:r>
    </w:p>
    <w:tbl>
      <w:tblPr>
        <w:tblW w:w="14565"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1785"/>
        <w:gridCol w:w="1704"/>
        <w:gridCol w:w="1355"/>
        <w:gridCol w:w="1619"/>
        <w:gridCol w:w="1620"/>
        <w:gridCol w:w="2"/>
        <w:gridCol w:w="1618"/>
        <w:gridCol w:w="1619"/>
        <w:gridCol w:w="1620"/>
        <w:gridCol w:w="1621"/>
      </w:tblGrid>
      <w:tr>
        <w:trPr>
          <w:trHeight w:val="530" w:hRule="atLeast"/>
        </w:trPr>
        <w:tc>
          <w:tcPr>
            <w:tcW w:w="178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Zanieczyszczenie</w:t>
            </w:r>
          </w:p>
        </w:tc>
        <w:tc>
          <w:tcPr>
            <w:tcW w:w="6300"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przy zawartości 11% tlenu w spalinach</w:t>
              <w:br/>
              <w:t>(standardy emisyjne)</w:t>
            </w:r>
          </w:p>
        </w:tc>
        <w:tc>
          <w:tcPr>
            <w:tcW w:w="6478"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przy zawartości 17,45% tlenu w spalinach</w:t>
            </w:r>
          </w:p>
        </w:tc>
      </w:tr>
      <w:tr>
        <w:trPr>
          <w:trHeight w:val="951" w:hRule="atLeast"/>
        </w:trPr>
        <w:tc>
          <w:tcPr>
            <w:tcW w:w="17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30-minutowe „A”</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w:t>
              <w:br/>
              <w:t xml:space="preserve"> dobowe</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z próby o czasie trwania od 30 min do 8 h</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z próby o czasie trwania od 6 h do 8 h</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30-minutowe „A”</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w:t>
              <w:br/>
              <w:t xml:space="preserve"> dobowe</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z próby o czasie trwania od 30 min do 8 h</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z próby o czasie trwania od 6 h do 8 h</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pył PM10</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30</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10,5528</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3,5176</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pył PM2,5</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30</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10,5528</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3,5176</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chlorowodór</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60</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21,1055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3,5176</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dwutlenek siarki</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70,3518</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17,5879</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tlenek węgla</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150</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52,7638</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17,5879</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tlenki azotu</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400</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140,7035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70,3518</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kadm</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0,05</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0,0176</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tal</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rtęć</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0,05</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0,0176</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arsen</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0,5</w:t>
            </w:r>
          </w:p>
          <w:p>
            <w:pPr>
              <w:pStyle w:val="Normal"/>
              <w:spacing w:before="40" w:after="40"/>
              <w:ind w:hanging="0"/>
              <w:rPr>
                <w:rFonts w:ascii="Arial" w:hAnsi="Arial" w:cs="Arial"/>
                <w:sz w:val="18"/>
                <w:szCs w:val="18"/>
              </w:rPr>
            </w:pPr>
            <w:r>
              <w:rPr>
                <w:rFonts w:cs="Arial" w:ascii="Arial" w:hAnsi="Arial"/>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0,1759</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ołów</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chrom</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kobalt</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miedź</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mangan</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nikiel</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wanad</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antymon</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fluorowodór*</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1,4070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0,3518</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dioksyny i furany*</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0,0000001</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0,000000035</w:t>
            </w:r>
          </w:p>
        </w:tc>
      </w:tr>
    </w:tbl>
    <w:p>
      <w:pPr>
        <w:sectPr>
          <w:footnotePr>
            <w:numFmt w:val="decimal"/>
          </w:footnotePr>
          <w:type w:val="nextPage"/>
          <w:pgSz w:orient="landscape" w:w="16838" w:h="11906"/>
          <w:pgMar w:left="1418" w:right="1134" w:header="0" w:top="1418" w:footer="0" w:bottom="1418" w:gutter="0"/>
          <w:pgNumType w:fmt="decimal"/>
          <w:formProt w:val="false"/>
          <w:textDirection w:val="lrTb"/>
          <w:docGrid w:type="default" w:linePitch="360" w:charSpace="4294961151"/>
        </w:sectPr>
        <w:pStyle w:val="APODPISTABELI"/>
        <w:jc w:val="left"/>
        <w:rPr>
          <w:rFonts w:ascii="Arial" w:hAnsi="Arial" w:cs="Arial"/>
          <w:b w:val="false"/>
          <w:b w:val="false"/>
          <w:sz w:val="16"/>
          <w:szCs w:val="22"/>
        </w:rPr>
      </w:pPr>
      <w:r>
        <w:rPr>
          <w:rFonts w:cs="Arial" w:ascii="Arial" w:hAnsi="Arial"/>
          <w:b w:val="false"/>
          <w:sz w:val="16"/>
          <w:szCs w:val="22"/>
        </w:rPr>
        <w:t>* substancje nienormowane, nie uwzględnione  w modelowaniu rozprzestrzeniania się zanieczyszczeń w powietrzu</w:t>
      </w:r>
    </w:p>
    <w:p>
      <w:pPr>
        <w:pStyle w:val="Caption"/>
        <w:keepNext/>
        <w:jc w:val="left"/>
        <w:rPr/>
      </w:pPr>
      <w:r>
        <w:rPr/>
        <w:t xml:space="preserve">Tabela </w:t>
      </w:r>
      <w:r>
        <w:rPr/>
        <w:fldChar w:fldCharType="begin"/>
      </w:r>
      <w:r>
        <w:instrText> SEQ Tabela \* ARABIC </w:instrText>
      </w:r>
      <w:r>
        <w:fldChar w:fldCharType="separate"/>
      </w:r>
      <w:r>
        <w:t>28</w:t>
      </w:r>
      <w:r>
        <w:fldChar w:fldCharType="end"/>
      </w:r>
      <w:r>
        <w:rPr/>
        <w:t>.</w:t>
      </w:r>
      <w:r>
        <w:rPr>
          <w:b w:val="false"/>
        </w:rPr>
        <w:t xml:space="preserve"> Stężenia metali w gazach spalinowych z instalacji</w:t>
      </w:r>
    </w:p>
    <w:tbl>
      <w:tblPr>
        <w:tblW w:w="9355" w:type="dxa"/>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1871"/>
        <w:gridCol w:w="1871"/>
        <w:gridCol w:w="1871"/>
        <w:gridCol w:w="1871"/>
        <w:gridCol w:w="1871"/>
      </w:tblGrid>
      <w:tr>
        <w:trPr>
          <w:trHeight w:val="216"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Zanieczyszczenie</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z pomiarów  (Intercal, Zielona Góra), [mg/Nm</w:t>
            </w:r>
            <w:r>
              <w:rPr>
                <w:rFonts w:cs="Arial" w:ascii="Arial" w:hAnsi="Arial"/>
                <w:b/>
                <w:sz w:val="18"/>
                <w:szCs w:val="18"/>
                <w:vertAlign w:val="superscript"/>
              </w:rPr>
              <w:t>3</w:t>
            </w:r>
            <w:r>
              <w:rPr>
                <w:rFonts w:cs="Arial" w:ascii="Arial" w:hAnsi="Arial"/>
                <w:b/>
                <w:sz w:val="18"/>
                <w:szCs w:val="18"/>
              </w:rPr>
              <w:t>]</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Udział procentowy</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przy zawartości 11% tlenu w spalinach [mg/m</w:t>
            </w:r>
            <w:r>
              <w:rPr>
                <w:rFonts w:cs="Arial" w:ascii="Arial" w:hAnsi="Arial"/>
                <w:b/>
                <w:sz w:val="18"/>
                <w:szCs w:val="18"/>
                <w:vertAlign w:val="superscript"/>
              </w:rPr>
              <w:t>3</w:t>
            </w:r>
            <w:r>
              <w:rPr>
                <w:rFonts w:cs="Arial" w:ascii="Arial" w:hAnsi="Arial"/>
                <w:b/>
                <w:sz w:val="18"/>
                <w:szCs w:val="18"/>
                <w:vertAlign w:val="subscript"/>
              </w:rPr>
              <w:t>u</w:t>
            </w:r>
            <w:r>
              <w:rPr>
                <w:rFonts w:cs="Arial" w:ascii="Arial" w:hAnsi="Arial"/>
                <w:b/>
                <w:sz w:val="18"/>
                <w:szCs w:val="18"/>
              </w:rPr>
              <w:t>]</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przy zawartości 17,45% tlenu w spalinach [mg/Nm</w:t>
            </w:r>
            <w:r>
              <w:rPr>
                <w:rFonts w:cs="Arial" w:ascii="Arial" w:hAnsi="Arial"/>
                <w:b/>
                <w:sz w:val="18"/>
                <w:szCs w:val="18"/>
                <w:vertAlign w:val="superscript"/>
              </w:rPr>
              <w:t>3</w:t>
            </w:r>
            <w:r>
              <w:rPr>
                <w:rFonts w:cs="Arial" w:ascii="Arial" w:hAnsi="Arial"/>
                <w:b/>
                <w:sz w:val="18"/>
                <w:szCs w:val="18"/>
              </w:rPr>
              <w:t>]</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arsen</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0,0011364</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1,24%</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0,0062</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0,0022</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ołów</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0,0404434</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43,97%</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0,2198</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0,0773</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chrom</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0,0033329</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3,62%</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0,0181</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0,0064</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kobalt</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0,0002879</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0,31%</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0,0016</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0,0006</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miedź</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0,0312279</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33,95%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0,1697</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0,0597</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mangan</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0,0051091</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5,55%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0,0278</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0,0098</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nikiel</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0,0013370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0,0073</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0,0026</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wanad</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0,0003720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0,40%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0,0007</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antymon</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0,0087381</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9,50%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0,0475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0,0167</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b/>
                <w:b/>
                <w:bCs/>
                <w:sz w:val="18"/>
                <w:szCs w:val="18"/>
              </w:rPr>
            </w:pPr>
            <w:r>
              <w:rPr>
                <w:rFonts w:cs="Arial" w:ascii="Arial" w:hAnsi="Arial"/>
                <w:b/>
                <w:bCs/>
                <w:sz w:val="18"/>
                <w:szCs w:val="18"/>
              </w:rPr>
              <w:t>SUMA</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0,0919847</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100,00%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0,5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0,1759</w:t>
            </w:r>
          </w:p>
        </w:tc>
      </w:tr>
    </w:tbl>
    <w:p>
      <w:pPr>
        <w:pStyle w:val="Normal"/>
        <w:spacing w:lineRule="auto" w:line="360"/>
        <w:rPr/>
      </w:pPr>
      <w:r>
        <w:rPr/>
      </w:r>
    </w:p>
    <w:p>
      <w:pPr>
        <w:pStyle w:val="Tretekstu"/>
        <w:spacing w:before="0" w:after="60"/>
        <w:ind w:hanging="0"/>
        <w:jc w:val="left"/>
        <w:rPr>
          <w:b/>
          <w:b/>
          <w:u w:val="single"/>
        </w:rPr>
      </w:pPr>
      <w:r>
        <w:rPr>
          <w:b/>
          <w:u w:val="single"/>
        </w:rPr>
        <w:t>Maksymalna emisja roczna</w:t>
      </w:r>
    </w:p>
    <w:p>
      <w:pPr>
        <w:pStyle w:val="Normal"/>
        <w:rPr/>
      </w:pPr>
      <w:r>
        <w:rPr/>
        <w:t>Emisję roczną obliczono jako iloczyn emisji średniej godzinowej i czasu pracy instalacji w ciągu roku. Do obliczenia średniej emisji godzinowej pyłu, chlorowodoru, fluorowodoru, dwutlenku siarki, tlenków azotu i tlenku węgla wykorzystano standardy emisyjne średnie dobowe. Dla pozostałych zanieczyszczeń, dla których jest podany tylko jeden rodzaj standardu emisyjnego, przyjęto, że emisja średnia godzinowa jest równa emisji maksymalnej godzinowej. Emisję zanieczyszczeń z pieca rusztowego przedstawiono w poniższej tabeli.</w:t>
      </w:r>
    </w:p>
    <w:p>
      <w:pPr>
        <w:pStyle w:val="Normal"/>
        <w:rPr/>
      </w:pPr>
      <w:r>
        <w:rPr/>
        <w:t>Dla dioksyn i furanów oraz fluorowodoru nie zostały określone wartości odniesienia</w:t>
        <w:br/>
        <w:t>w Rozporządzeniu Ministra Środowiska z dnia 26 stycznia 2010 r.</w:t>
      </w:r>
      <w:r>
        <w:rPr>
          <w:i/>
          <w:iCs/>
        </w:rPr>
        <w:t xml:space="preserve"> w sprawie wartości odniesienia dla niektórych substancji w powietrzu (Dz.U. 2010, Nr 16, poz. 87), </w:t>
      </w:r>
      <w:r>
        <w:rPr>
          <w:iCs/>
        </w:rPr>
        <w:t>dlatego też nie</w:t>
      </w:r>
      <w:r>
        <w:rPr>
          <w:i/>
          <w:iCs/>
        </w:rPr>
        <w:t xml:space="preserve"> </w:t>
      </w:r>
      <w:r>
        <w:rPr>
          <w:iCs/>
        </w:rPr>
        <w:t xml:space="preserve">uwzględniono emisji dioksyn i furanów oraz fluorowodoru w </w:t>
      </w:r>
      <w:r>
        <w:rPr/>
        <w:t>obliczeniach rozprzestrzeniania się zanieczyszczeń w powietrzu (otrzymanych wartości stężeń w sieci receptorów nie byłoby z czym porównać).</w:t>
      </w:r>
    </w:p>
    <w:p>
      <w:pPr>
        <w:pStyle w:val="Normal"/>
        <w:rPr/>
      </w:pPr>
      <w:r>
        <w:rPr/>
        <w:t>Kontrola dioksyn i furanów oraz fluorowodoru będzie zapewniona poprzez badanie dotrzymywania standardu emisyjnego tych zanieczyszczeń.</w:t>
      </w:r>
    </w:p>
    <w:p>
      <w:pPr>
        <w:pStyle w:val="Normal"/>
        <w:rPr/>
      </w:pPr>
      <w:r>
        <w:rPr/>
        <w:t xml:space="preserve">Zanieczyszczenia z pieca rusztowego będą odprowadzane </w:t>
      </w:r>
      <w:r>
        <w:rPr>
          <w:b/>
        </w:rPr>
        <w:t xml:space="preserve">emitorami E1 i E2 </w:t>
      </w:r>
      <w:r>
        <w:rPr/>
        <w:t>o następujących parametrach:</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wysokość</w:t>
        <w:tab/>
        <w:tab/>
        <w:tab/>
        <w:tab/>
        <w:t>20 m</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średnica</w:t>
        <w:tab/>
        <w:tab/>
        <w:tab/>
        <w:tab/>
        <w:t>0,5 m</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temperatura gazów</w:t>
        <w:tab/>
        <w:tab/>
        <w:tab/>
        <w:t>453 K</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wylot otwarty</w:t>
      </w:r>
    </w:p>
    <w:p>
      <w:pPr>
        <w:pStyle w:val="PlainText"/>
        <w:numPr>
          <w:ilvl w:val="0"/>
          <w:numId w:val="56"/>
        </w:numPr>
        <w:ind w:left="709" w:hanging="312"/>
        <w:jc w:val="both"/>
        <w:rPr/>
      </w:pPr>
      <w:r>
        <w:rPr>
          <w:rFonts w:cs="Times New Roman" w:ascii="Times New Roman" w:hAnsi="Times New Roman"/>
          <w:sz w:val="24"/>
          <w:szCs w:val="24"/>
        </w:rPr>
        <w:t>prędkość wylotowa gazów</w:t>
        <w:tab/>
        <w:tab/>
        <w:t>17 m/s</w:t>
      </w:r>
    </w:p>
    <w:p>
      <w:pPr>
        <w:pStyle w:val="Normal"/>
        <w:rPr/>
      </w:pPr>
      <w:r>
        <w:rPr/>
      </w:r>
    </w:p>
    <w:p>
      <w:pPr>
        <w:pStyle w:val="Normal"/>
        <w:rPr/>
      </w:pPr>
      <w:r>
        <w:rPr/>
        <w:t>Prędkość gazów odlotowych obliczono z następującego wzoru:</w:t>
      </w:r>
    </w:p>
    <w:p>
      <w:pPr>
        <w:pStyle w:val="Normal"/>
        <w:spacing w:before="0" w:after="120"/>
        <w:rPr/>
      </w:pPr>
      <w:r>
        <w:rPr/>
      </w:r>
      <m:oMath xmlns:m="http://schemas.openxmlformats.org/officeDocument/2006/math">
        <m:r>
          <w:rPr>
            <w:rFonts w:ascii="Cambria Math" w:hAnsi="Cambria Math"/>
          </w:rPr>
          <m:t xml:space="preserve">v</m:t>
        </m:r>
        <m:r>
          <w:rPr>
            <w:rFonts w:ascii="Cambria Math" w:hAnsi="Cambria Math"/>
          </w:rPr>
          <m:t xml:space="preserve">=</m:t>
        </m:r>
        <m:f>
          <m:num>
            <m:r>
              <m:rPr>
                <m:lit/>
                <m:nor/>
              </m:rPr>
              <w:rPr>
                <w:rFonts w:ascii="Cambria Math" w:hAnsi="Cambria Math"/>
              </w:rPr>
              <m:t xml:space="preserve">przeplyw</m:t>
            </m:r>
            <m:r>
              <m:t xml:space="preserve"> </m:t>
            </m:r>
            <m:r>
              <m:rPr>
                <m:lit/>
                <m:nor/>
              </m:rPr>
              <w:rPr>
                <w:rFonts w:ascii="Cambria Math" w:hAnsi="Cambria Math"/>
              </w:rPr>
              <m:t xml:space="preserve">powietrza</m:t>
            </m:r>
            <m:r>
              <m:t xml:space="preserve"> </m:t>
            </m:r>
            <m:r>
              <m:rPr>
                <m:lit/>
                <m:nor/>
              </m:rPr>
              <w:rPr>
                <w:rFonts w:ascii="Cambria Math" w:hAnsi="Cambria Math"/>
              </w:rPr>
              <m:t xml:space="preserve">do</m:t>
            </m:r>
            <m:r>
              <m:t xml:space="preserve"> </m:t>
            </m:r>
            <m:r>
              <m:rPr>
                <m:lit/>
                <m:nor/>
              </m:rPr>
              <w:rPr>
                <w:rFonts w:ascii="Cambria Math" w:hAnsi="Cambria Math"/>
              </w:rPr>
              <m:t xml:space="preserve">emitora</m:t>
            </m:r>
            <m:r>
              <m:t xml:space="preserve"> </m:t>
            </m:r>
            <m:r>
              <w:rPr>
                <w:rFonts w:ascii="Cambria Math" w:hAnsi="Cambria Math"/>
              </w:rPr>
              <m:t xml:space="preserve">[</m:t>
            </m:r>
            <m:f>
              <m:fPr>
                <m:type m:val="lin"/>
              </m:fPr>
              <m:num>
                <m:sSup>
                  <m:e>
                    <m:r>
                      <w:rPr>
                        <w:rFonts w:ascii="Cambria Math" w:hAnsi="Cambria Math"/>
                      </w:rPr>
                      <m:t xml:space="preserve">m</m:t>
                    </m:r>
                  </m:e>
                  <m:sup>
                    <m:r>
                      <w:rPr>
                        <w:rFonts w:ascii="Cambria Math" w:hAnsi="Cambria Math"/>
                      </w:rPr>
                      <m:t xml:space="preserve">3</m:t>
                    </m:r>
                  </m:sup>
                </m:sSup>
              </m:num>
              <m:den>
                <m:r>
                  <w:rPr>
                    <w:rFonts w:ascii="Cambria Math" w:hAnsi="Cambria Math"/>
                  </w:rPr>
                  <m:t xml:space="preserve">h</m:t>
                </m:r>
              </m:den>
            </m:f>
            <m:r>
              <w:rPr>
                <w:rFonts w:ascii="Cambria Math" w:hAnsi="Cambria Math"/>
              </w:rPr>
              <m:t xml:space="preserve">]</m:t>
            </m:r>
          </m:num>
          <m:den>
            <m:r>
              <m:rPr>
                <m:lit/>
                <m:nor/>
              </m:rPr>
              <w:rPr>
                <w:rFonts w:ascii="Cambria Math" w:hAnsi="Cambria Math"/>
              </w:rPr>
              <m:t xml:space="preserve">pole</m:t>
            </m:r>
            <m:r>
              <m:t xml:space="preserve"> </m:t>
            </m:r>
            <m:r>
              <m:rPr>
                <m:lit/>
                <m:nor/>
              </m:rPr>
              <w:rPr>
                <w:rFonts w:ascii="Cambria Math" w:hAnsi="Cambria Math"/>
              </w:rPr>
              <m:t xml:space="preserve">przekroju</m:t>
            </m:r>
            <m:r>
              <m:t xml:space="preserve"> </m:t>
            </m:r>
            <m:r>
              <m:rPr>
                <m:lit/>
                <m:nor/>
              </m:rPr>
              <w:rPr>
                <w:rFonts w:ascii="Cambria Math" w:hAnsi="Cambria Math"/>
              </w:rPr>
              <m:t xml:space="preserve">wylotu</m:t>
            </m:r>
            <m:r>
              <m:t xml:space="preserve"> </m:t>
            </m:r>
            <m:r>
              <m:rPr>
                <m:lit/>
                <m:nor/>
              </m:rPr>
              <w:rPr>
                <w:rFonts w:ascii="Cambria Math" w:hAnsi="Cambria Math"/>
              </w:rPr>
              <m:t xml:space="preserve">emitora</m:t>
            </m:r>
            <m:r>
              <m:t xml:space="preserve"> </m:t>
            </m:r>
            <m:r>
              <w:rPr>
                <w:rFonts w:ascii="Cambria Math" w:hAnsi="Cambria Math"/>
              </w:rPr>
              <m:t xml:space="preserve">[</m:t>
            </m:r>
            <m:sSup>
              <m:e>
                <m:r>
                  <w:rPr>
                    <w:rFonts w:ascii="Cambria Math" w:hAnsi="Cambria Math"/>
                  </w:rPr>
                  <m:t xml:space="preserve">m</m:t>
                </m:r>
              </m:e>
              <m:sup>
                <m:r>
                  <w:rPr>
                    <w:rFonts w:ascii="Cambria Math" w:hAnsi="Cambria Math"/>
                  </w:rPr>
                  <m:t xml:space="preserve">2</m:t>
                </m:r>
              </m:sup>
            </m:sSup>
            <m:r>
              <w:rPr>
                <w:rFonts w:ascii="Cambria Math" w:hAnsi="Cambria Math"/>
              </w:rPr>
              <m:t xml:space="preserve">]</m:t>
            </m:r>
          </m:den>
        </m:f>
        <m:r>
          <m:t xml:space="preserve"> </m:t>
        </m:r>
      </m:oMath>
    </w:p>
    <w:p>
      <w:pPr>
        <w:pStyle w:val="Normal"/>
        <w:rPr/>
      </w:pPr>
      <w:r>
        <w:rPr/>
      </w:r>
      <m:oMath xmlns:m="http://schemas.openxmlformats.org/officeDocument/2006/math">
        <m:r>
          <w:rPr>
            <w:rFonts w:ascii="Cambria Math" w:hAnsi="Cambria Math"/>
          </w:rPr>
          <m:t xml:space="preserve">v</m:t>
        </m:r>
        <m:r>
          <w:rPr>
            <w:rFonts w:ascii="Cambria Math" w:hAnsi="Cambria Math"/>
          </w:rPr>
          <m:t xml:space="preserve">=</m:t>
        </m:r>
        <m:f>
          <m:fPr>
            <m:type m:val="lin"/>
          </m:fPr>
          <m:num>
            <m:f>
              <m:num>
                <m:r>
                  <m:rPr>
                    <m:lit/>
                    <m:nor/>
                  </m:rPr>
                  <w:rPr>
                    <w:rFonts w:ascii="Cambria Math" w:hAnsi="Cambria Math"/>
                  </w:rPr>
                  <m:t xml:space="preserve">12</m:t>
                </m:r>
                <m:r>
                  <m:t xml:space="preserve"> </m:t>
                </m:r>
                <m:r>
                  <m:rPr>
                    <m:lit/>
                    <m:nor/>
                  </m:rPr>
                  <w:rPr>
                    <w:rFonts w:ascii="Cambria Math" w:hAnsi="Cambria Math"/>
                  </w:rPr>
                  <m:t xml:space="preserve">000</m:t>
                </m:r>
              </m:num>
              <m:den>
                <m:r>
                  <w:rPr>
                    <w:rFonts w:ascii="Cambria Math" w:hAnsi="Cambria Math"/>
                  </w:rPr>
                  <m:t xml:space="preserve">π</m:t>
                </m:r>
                <m:r>
                  <w:rPr>
                    <w:rFonts w:ascii="Cambria Math" w:hAnsi="Cambria Math"/>
                  </w:rPr>
                  <m:t xml:space="preserve">×</m:t>
                </m:r>
                <m:r>
                  <w:rPr>
                    <w:rFonts w:ascii="Cambria Math" w:hAnsi="Cambria Math"/>
                  </w:rPr>
                  <m:t xml:space="preserve">0</m:t>
                </m:r>
                <m:r>
                  <w:rPr>
                    <w:rFonts w:ascii="Cambria Math" w:hAnsi="Cambria Math"/>
                  </w:rPr>
                  <m:t xml:space="preserve">,</m:t>
                </m:r>
                <m:sSup>
                  <m:e>
                    <m:r>
                      <m:rPr>
                        <m:lit/>
                        <m:nor/>
                      </m:rPr>
                      <w:rPr>
                        <w:rFonts w:ascii="Cambria Math" w:hAnsi="Cambria Math"/>
                      </w:rPr>
                      <m:t xml:space="preserve">25</m:t>
                    </m:r>
                  </m:e>
                  <m:sup>
                    <m:r>
                      <w:rPr>
                        <w:rFonts w:ascii="Cambria Math" w:hAnsi="Cambria Math"/>
                      </w:rPr>
                      <m:t xml:space="preserve">2</m:t>
                    </m:r>
                  </m:sup>
                </m:sSup>
              </m:den>
            </m:f>
          </m:num>
          <m:den>
            <m:r>
              <w:rPr>
                <w:rFonts w:ascii="Cambria Math" w:hAnsi="Cambria Math"/>
              </w:rPr>
              <m:t xml:space="preserve">3</m:t>
            </m:r>
          </m:den>
        </m:f>
        <m:r>
          <m:t xml:space="preserve"> </m:t>
        </m:r>
        <m:r>
          <m:rPr>
            <m:lit/>
            <m:nor/>
          </m:rPr>
          <w:rPr>
            <w:rFonts w:ascii="Cambria Math" w:hAnsi="Cambria Math"/>
          </w:rPr>
          <m:t xml:space="preserve">600</m:t>
        </m:r>
        <m:r>
          <w:rPr>
            <w:rFonts w:ascii="Cambria Math" w:hAnsi="Cambria Math"/>
          </w:rPr>
          <m:t xml:space="preserve">=</m:t>
        </m:r>
        <m:r>
          <m:rPr>
            <m:lit/>
            <m:nor/>
          </m:rPr>
          <w:rPr>
            <w:rFonts w:ascii="Cambria Math" w:hAnsi="Cambria Math"/>
          </w:rPr>
          <m:t xml:space="preserve">17</m:t>
        </m:r>
        <m:r>
          <m:t xml:space="preserve"> </m:t>
        </m:r>
        <m:d>
          <m:dPr>
            <m:begChr m:val="["/>
            <m:endChr m:val="]"/>
          </m:dPr>
          <m:e>
            <m:f>
              <m:fPr>
                <m:type m:val="lin"/>
              </m:fPr>
              <m:num>
                <m:r>
                  <w:rPr>
                    <w:rFonts w:ascii="Cambria Math" w:hAnsi="Cambria Math"/>
                  </w:rPr>
                  <m:t xml:space="preserve">m</m:t>
                </m:r>
              </m:num>
              <m:den>
                <m:r>
                  <w:rPr>
                    <w:rFonts w:ascii="Cambria Math" w:hAnsi="Cambria Math"/>
                  </w:rPr>
                  <m:t xml:space="preserve">s</m:t>
                </m:r>
              </m:den>
            </m:f>
          </m:e>
        </m:d>
      </m:oMath>
    </w:p>
    <w:p>
      <w:pPr>
        <w:sectPr>
          <w:headerReference w:type="even" r:id="rId60"/>
          <w:headerReference w:type="default" r:id="rId61"/>
          <w:footerReference w:type="even" r:id="rId62"/>
          <w:footerReference w:type="default" r:id="rId63"/>
          <w:footnotePr>
            <w:numFmt w:val="decimal"/>
          </w:footnotePr>
          <w:type w:val="nextPage"/>
          <w:pgSz w:w="11906" w:h="16838"/>
          <w:pgMar w:left="1418" w:right="1134" w:header="709" w:top="1418" w:footer="709" w:bottom="1418" w:gutter="0"/>
          <w:pgNumType w:fmt="decimal"/>
          <w:formProt w:val="false"/>
          <w:textDirection w:val="lrTb"/>
          <w:docGrid w:type="default" w:linePitch="360" w:charSpace="4294961151"/>
        </w:sectPr>
        <w:pStyle w:val="Normal"/>
        <w:spacing w:before="0" w:after="120"/>
        <w:rPr/>
      </w:pPr>
      <w:r>
        <w:rPr/>
      </w:r>
    </w:p>
    <w:p>
      <w:pPr>
        <w:pStyle w:val="Tytutabeli"/>
        <w:spacing w:before="120" w:after="120"/>
        <w:rPr/>
      </w:pPr>
      <w:r>
        <w:rPr/>
        <w:t xml:space="preserve">  </w:t>
      </w:r>
      <w:r>
        <w:rPr/>
        <w:t xml:space="preserve">Tabela </w:t>
      </w:r>
      <w:r>
        <w:rPr/>
        <w:fldChar w:fldCharType="begin"/>
      </w:r>
      <w:r>
        <w:instrText> SEQ Tabela \* ARABIC </w:instrText>
      </w:r>
      <w:r>
        <w:fldChar w:fldCharType="separate"/>
      </w:r>
      <w:r>
        <w:t>29</w:t>
      </w:r>
      <w:r>
        <w:fldChar w:fldCharType="end"/>
      </w:r>
      <w:r>
        <w:rPr/>
        <w:t>.</w:t>
      </w:r>
      <w:r>
        <w:rPr>
          <w:b w:val="false"/>
        </w:rPr>
        <w:t xml:space="preserve"> Emisja zanieczyszczeń z pieca rusztowego</w:t>
      </w:r>
    </w:p>
    <w:tbl>
      <w:tblPr>
        <w:tblW w:w="14132"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2013"/>
        <w:gridCol w:w="1594"/>
        <w:gridCol w:w="1466"/>
        <w:gridCol w:w="1621"/>
        <w:gridCol w:w="1585"/>
        <w:gridCol w:w="1294"/>
        <w:gridCol w:w="1498"/>
        <w:gridCol w:w="1440"/>
        <w:gridCol w:w="1619"/>
      </w:tblGrid>
      <w:tr>
        <w:trPr>
          <w:trHeight w:val="61" w:hRule="atLeast"/>
        </w:trPr>
        <w:tc>
          <w:tcPr>
            <w:tcW w:w="201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Zanieczyszczenie</w:t>
            </w:r>
          </w:p>
        </w:tc>
        <w:tc>
          <w:tcPr>
            <w:tcW w:w="6266"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przy zawartości 17,45% tlenu w spalinach</w:t>
            </w:r>
          </w:p>
        </w:tc>
        <w:tc>
          <w:tcPr>
            <w:tcW w:w="129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Nominalny przepływ spalin [Nm</w:t>
            </w:r>
            <w:r>
              <w:rPr>
                <w:rFonts w:cs="Arial" w:ascii="Arial" w:hAnsi="Arial"/>
                <w:b/>
                <w:sz w:val="18"/>
                <w:szCs w:val="18"/>
                <w:vertAlign w:val="superscript"/>
              </w:rPr>
              <w:t>3</w:t>
            </w:r>
            <w:r>
              <w:rPr>
                <w:rFonts w:cs="Arial" w:ascii="Arial" w:hAnsi="Arial"/>
                <w:b/>
                <w:sz w:val="18"/>
                <w:szCs w:val="18"/>
              </w:rPr>
              <w:t>/h]</w:t>
            </w:r>
          </w:p>
        </w:tc>
        <w:tc>
          <w:tcPr>
            <w:tcW w:w="149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Emisja max godzinowa</w:t>
            </w:r>
          </w:p>
          <w:p>
            <w:pPr>
              <w:pStyle w:val="Normal"/>
              <w:spacing w:before="40" w:after="40"/>
              <w:ind w:hanging="0"/>
              <w:jc w:val="center"/>
              <w:rPr>
                <w:rFonts w:ascii="Arial" w:hAnsi="Arial" w:cs="Arial"/>
                <w:b/>
                <w:b/>
                <w:sz w:val="18"/>
                <w:szCs w:val="18"/>
              </w:rPr>
            </w:pPr>
            <w:r>
              <w:rPr>
                <w:rFonts w:cs="Arial" w:ascii="Arial" w:hAnsi="Arial"/>
                <w:b/>
                <w:sz w:val="18"/>
                <w:szCs w:val="18"/>
              </w:rPr>
              <w:t>[kg/h]</w:t>
            </w:r>
          </w:p>
        </w:tc>
        <w:tc>
          <w:tcPr>
            <w:tcW w:w="144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Emisja średnia godzinowa</w:t>
            </w:r>
          </w:p>
          <w:p>
            <w:pPr>
              <w:pStyle w:val="Normal"/>
              <w:spacing w:before="40" w:after="40"/>
              <w:ind w:hanging="0"/>
              <w:jc w:val="center"/>
              <w:rPr>
                <w:rFonts w:ascii="Arial" w:hAnsi="Arial" w:cs="Arial"/>
                <w:b/>
                <w:b/>
                <w:sz w:val="18"/>
                <w:szCs w:val="18"/>
              </w:rPr>
            </w:pPr>
            <w:r>
              <w:rPr>
                <w:rFonts w:cs="Arial" w:ascii="Arial" w:hAnsi="Arial"/>
                <w:b/>
                <w:sz w:val="18"/>
                <w:szCs w:val="18"/>
              </w:rPr>
              <w:t>[kg/h]</w:t>
            </w:r>
          </w:p>
        </w:tc>
        <w:tc>
          <w:tcPr>
            <w:tcW w:w="1619"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Emisja roczna</w:t>
            </w:r>
          </w:p>
          <w:p>
            <w:pPr>
              <w:pStyle w:val="Normal"/>
              <w:spacing w:before="40" w:after="40"/>
              <w:ind w:hanging="0"/>
              <w:jc w:val="center"/>
              <w:rPr>
                <w:rFonts w:ascii="Arial" w:hAnsi="Arial" w:cs="Arial"/>
                <w:b/>
                <w:b/>
                <w:sz w:val="18"/>
                <w:szCs w:val="18"/>
              </w:rPr>
            </w:pPr>
            <w:r>
              <w:rPr>
                <w:rFonts w:cs="Arial" w:ascii="Arial" w:hAnsi="Arial"/>
                <w:b/>
                <w:sz w:val="18"/>
                <w:szCs w:val="18"/>
              </w:rPr>
              <w:t>[Mg/rok]</w:t>
            </w:r>
          </w:p>
        </w:tc>
      </w:tr>
      <w:tr>
        <w:trPr>
          <w:trHeight w:val="951" w:hRule="atLeast"/>
        </w:trPr>
        <w:tc>
          <w:tcPr>
            <w:tcW w:w="201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B3B3B3"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30-minutowe „A”</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w:t>
              <w:br/>
              <w:t xml:space="preserve"> dobowe</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z próby o czasie trwania od 30 min do 8 h [mg/m</w:t>
            </w:r>
            <w:r>
              <w:rPr>
                <w:rFonts w:cs="Arial" w:ascii="Arial" w:hAnsi="Arial"/>
                <w:b/>
                <w:sz w:val="18"/>
                <w:szCs w:val="18"/>
                <w:vertAlign w:val="superscript"/>
              </w:rPr>
              <w:t>3</w:t>
            </w:r>
            <w:r>
              <w:rPr>
                <w:rFonts w:cs="Arial" w:ascii="Arial" w:hAnsi="Arial"/>
                <w:b/>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z próby o czasie trwania od 6 h do 8 h [mg/m</w:t>
            </w:r>
            <w:r>
              <w:rPr>
                <w:rFonts w:cs="Arial" w:ascii="Arial" w:hAnsi="Arial"/>
                <w:b/>
                <w:sz w:val="18"/>
                <w:szCs w:val="18"/>
                <w:vertAlign w:val="superscript"/>
              </w:rPr>
              <w:t>3</w:t>
            </w:r>
            <w:r>
              <w:rPr>
                <w:rFonts w:cs="Arial" w:ascii="Arial" w:hAnsi="Arial"/>
                <w:b/>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B3B3B3"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r>
          </w:p>
        </w:tc>
        <w:tc>
          <w:tcPr>
            <w:tcW w:w="149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B3B3B3"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r>
          </w:p>
        </w:tc>
        <w:tc>
          <w:tcPr>
            <w:tcW w:w="144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B3B3B3"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B3B3B3"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pył PM10</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10,5528</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3,5176</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12 000</w:t>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0,1266</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0,0422</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0,3461</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pył PM2,5</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10,5528</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3,5176</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0,1266</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0,0422</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0,3461</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chlorowodór</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21,1055</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3,5176</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0,2533</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0,0422</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0,3461</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dwutlenek siarki</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70,3518</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17,5879</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0,8442</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0,2111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1,7307</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tlenek węgla</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52,7638</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17,5879</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0,6332</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0,2111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1,7307</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tlenki azotu</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140,7035</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70,3518</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1,6884</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0,8442</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6,9226</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dwutlenek azotu</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14,0704</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7,0352</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0,1688</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0,0844</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0,6923</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kadm</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0,0088</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0,00011</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0,00011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0,00087</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tal</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0,0088</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0,00011</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0,00011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0,00087</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rtęć</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0,0176</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0,00021</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0,00173</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arsen</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0,0022</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0,0000261</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0,0000261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0,00021</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ołów</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0,0773</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0,0009280</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0,0009280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0,00761</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chrom (VI)</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0,0064</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0,0000765</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0,0000765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0,00063</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chrom (III i IV)</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0,0064</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0,0000765</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0,0000765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0,00063</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kobalt</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0,0006</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0,0000066</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0,0000066</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0,00005</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miedź</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0,0597</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0,0007165</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0,0007165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0,00588</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mangan</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0,0098</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0,0001172</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0,0001172</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0,00096</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nikiel</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0,0026</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0,0000307</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0,0000307</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0,00025</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wanad</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0,0007</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0,0000085</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0,0000085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0,00007</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antymon</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0,0167</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0,0002005</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0,0002005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0,00164</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i/>
                <w:i/>
                <w:sz w:val="18"/>
                <w:szCs w:val="18"/>
              </w:rPr>
            </w:pPr>
            <w:r>
              <w:rPr>
                <w:rFonts w:cs="Arial" w:ascii="Arial" w:hAnsi="Arial"/>
                <w:i/>
                <w:sz w:val="18"/>
                <w:szCs w:val="18"/>
              </w:rPr>
              <w:t>fluorowodór*</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1,4070</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0,3518</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0,0169</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0,0042</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0,0346</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i/>
                <w:i/>
                <w:sz w:val="18"/>
                <w:szCs w:val="18"/>
              </w:rPr>
            </w:pPr>
            <w:r>
              <w:rPr>
                <w:rFonts w:cs="Arial" w:ascii="Arial" w:hAnsi="Arial"/>
                <w:i/>
                <w:sz w:val="18"/>
                <w:szCs w:val="18"/>
              </w:rPr>
              <w:t>dioksyny i furany*</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0,000000035</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0,0000000004</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0,0000000004</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0,0000000035</w:t>
            </w:r>
          </w:p>
        </w:tc>
      </w:tr>
    </w:tbl>
    <w:p>
      <w:pPr>
        <w:sectPr>
          <w:headerReference w:type="default" r:id="rId64"/>
          <w:footnotePr>
            <w:numFmt w:val="decimal"/>
          </w:footnotePr>
          <w:type w:val="nextPage"/>
          <w:pgSz w:orient="landscape" w:w="16838" w:h="11906"/>
          <w:pgMar w:left="1418" w:right="1134" w:header="709" w:top="1418" w:footer="0" w:bottom="1418" w:gutter="0"/>
          <w:pgNumType w:fmt="decimal"/>
          <w:formProt w:val="false"/>
          <w:textDirection w:val="lrTb"/>
          <w:docGrid w:type="default" w:linePitch="360" w:charSpace="4294961151"/>
        </w:sectPr>
        <w:pStyle w:val="APODPISTABELI"/>
        <w:jc w:val="left"/>
        <w:rPr>
          <w:rFonts w:ascii="Arial" w:hAnsi="Arial" w:cs="Arial"/>
          <w:b w:val="false"/>
          <w:b w:val="false"/>
          <w:sz w:val="16"/>
          <w:szCs w:val="22"/>
        </w:rPr>
      </w:pPr>
      <w:r>
        <w:rPr>
          <w:rFonts w:cs="Arial" w:ascii="Arial" w:hAnsi="Arial"/>
          <w:b w:val="false"/>
          <w:sz w:val="16"/>
          <w:szCs w:val="22"/>
        </w:rPr>
        <w:t>* substancje nienormowane, nie uwzględnione  w modelowaniu rozprzestrzeniania się zanieczyszczeń w powietrzu</w:t>
      </w:r>
    </w:p>
    <w:p>
      <w:pPr>
        <w:pStyle w:val="Tretekstu"/>
        <w:spacing w:before="0" w:after="60"/>
        <w:ind w:hanging="0"/>
        <w:jc w:val="left"/>
        <w:rPr/>
      </w:pPr>
      <w:r>
        <w:rPr/>
        <w:t>Lokalizację emitorów w obrębie zakładu przedstawia rysunek 33.</w:t>
      </w:r>
    </w:p>
    <w:p>
      <w:pPr>
        <w:pStyle w:val="Tretekstu"/>
        <w:spacing w:before="0" w:after="60"/>
        <w:ind w:hanging="0"/>
        <w:jc w:val="left"/>
        <w:rPr/>
      </w:pPr>
      <w:r>
        <w:rPr/>
      </w:r>
    </w:p>
    <w:p>
      <w:pPr>
        <w:pStyle w:val="Normal"/>
        <w:keepNext/>
        <w:spacing w:before="0" w:after="120"/>
        <w:ind w:hanging="0"/>
        <w:jc w:val="center"/>
        <w:rPr/>
      </w:pPr>
      <w:r>
        <w:rPr/>
        <w:drawing>
          <wp:inline distT="0" distB="0" distL="0" distR="0">
            <wp:extent cx="3108960" cy="4596130"/>
            <wp:effectExtent l="0" t="0" r="0" b="0"/>
            <wp:docPr id="49" name="Obraz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18" descr=""/>
                    <pic:cNvPicPr>
                      <a:picLocks noChangeAspect="1" noChangeArrowheads="1"/>
                    </pic:cNvPicPr>
                  </pic:nvPicPr>
                  <pic:blipFill>
                    <a:blip r:embed="rId65"/>
                    <a:stretch>
                      <a:fillRect/>
                    </a:stretch>
                  </pic:blipFill>
                  <pic:spPr bwMode="auto">
                    <a:xfrm>
                      <a:off x="0" y="0"/>
                      <a:ext cx="3108960" cy="459613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33</w:t>
      </w:r>
      <w:r>
        <w:fldChar w:fldCharType="end"/>
      </w:r>
      <w:r>
        <w:rPr/>
        <w:t>.</w:t>
      </w:r>
      <w:r>
        <w:rPr>
          <w:b w:val="false"/>
        </w:rPr>
        <w:t xml:space="preserve"> Lokalizacja emitorów</w:t>
      </w:r>
    </w:p>
    <w:p>
      <w:pPr>
        <w:pStyle w:val="Normal"/>
        <w:rPr>
          <w:b/>
          <w:b/>
          <w:u w:val="single"/>
        </w:rPr>
      </w:pPr>
      <w:r>
        <w:rPr>
          <w:b/>
          <w:u w:val="single"/>
        </w:rPr>
      </w:r>
    </w:p>
    <w:p>
      <w:pPr>
        <w:pStyle w:val="Tretekstu"/>
        <w:spacing w:before="0" w:after="60"/>
        <w:ind w:hanging="0"/>
        <w:jc w:val="left"/>
        <w:rPr>
          <w:b/>
          <w:b/>
          <w:u w:val="single"/>
        </w:rPr>
      </w:pPr>
      <w:r>
        <w:rPr>
          <w:b/>
          <w:u w:val="single"/>
        </w:rPr>
        <w:t>Zrzut spalin wyrzutnia awaryjną</w:t>
      </w:r>
    </w:p>
    <w:p>
      <w:pPr>
        <w:pStyle w:val="Normal"/>
        <w:rPr/>
      </w:pPr>
      <w:r>
        <w:rPr/>
        <w:t>Czopuch łączący piec rusztowy z kotłem odzysknicowym będzie wyposażony w wyrzutnię  awaryjną, która będzie automatycznie otwierana w przypadku awarii systemu zasilania instalacji lub w przypadku konieczności odcięcia dopływu spalin do kotła odzysknicowego. Skierowanie gazów spalinowych do wyrzutni awaryjnej przez krótki okres czasu z równoczesnym wstrzymaniem podawania do pieca rusztowego paliwa daje możliwość natychmiastowego zatrzymania pracy pieca w przypadku awarii.</w:t>
      </w:r>
    </w:p>
    <w:p>
      <w:pPr>
        <w:pStyle w:val="Normal"/>
        <w:rPr/>
      </w:pPr>
      <w:r>
        <w:rPr/>
        <w:t>Komin awaryjny będzie niższy od emitora głównego, a także nie będzie wyposażony w system oczyszczania spalin.</w:t>
      </w:r>
    </w:p>
    <w:p>
      <w:pPr>
        <w:pStyle w:val="Normal"/>
        <w:rPr>
          <w:rStyle w:val="Wyrnienie"/>
          <w:i w:val="false"/>
          <w:i w:val="false"/>
        </w:rPr>
      </w:pPr>
      <w:r>
        <w:rPr/>
        <w:t>W niniejszym opracowaniu przyjęto, że jednorazowe zrzuty spalin kominem awaryjnym nie będą przekraczać 4 godzin, a w skali roku – 60 godzin – zgodnie z Dyrektywą UE, usankcjonowaną w polskim prawodawstwie zapisami Rozporządzenia Ministra Rozwoju z dnia 21 stycznia 2016 r. w </w:t>
      </w:r>
      <w:r>
        <w:rPr>
          <w:rStyle w:val="Wyrnienie"/>
        </w:rPr>
        <w:t>sprawie wymagań dotyczących prowadzenia procesu termicznego przekształcania odpadów</w:t>
      </w:r>
      <w:r>
        <w:rPr/>
        <w:t xml:space="preserve"> oraz </w:t>
      </w:r>
      <w:r>
        <w:rPr>
          <w:rStyle w:val="Wyrnienie"/>
        </w:rPr>
        <w:t>sposobów postępowania</w:t>
      </w:r>
      <w:r>
        <w:rPr/>
        <w:t xml:space="preserve"> z </w:t>
      </w:r>
      <w:r>
        <w:rPr>
          <w:rStyle w:val="Wyrnienie"/>
        </w:rPr>
        <w:t>odpadami powstałymi</w:t>
      </w:r>
      <w:r>
        <w:rPr/>
        <w:t xml:space="preserve"> w </w:t>
      </w:r>
      <w:r>
        <w:rPr>
          <w:rStyle w:val="Wyrnienie"/>
        </w:rPr>
        <w:t>wyniku</w:t>
      </w:r>
      <w:r>
        <w:rPr/>
        <w:t xml:space="preserve"> tego </w:t>
      </w:r>
      <w:r>
        <w:rPr>
          <w:rStyle w:val="Wyrnienie"/>
        </w:rPr>
        <w:t xml:space="preserve">procesu </w:t>
      </w:r>
      <w:r>
        <w:rPr>
          <w:rStyle w:val="Wyrnienie"/>
          <w:i w:val="false"/>
        </w:rPr>
        <w:t>(Dz.U. z 2016 r., poz. 108).</w:t>
      </w:r>
    </w:p>
    <w:p>
      <w:pPr>
        <w:pStyle w:val="Normal"/>
        <w:rPr/>
      </w:pPr>
      <w:r>
        <w:rPr>
          <w:rStyle w:val="Wyrnienie"/>
          <w:i w:val="false"/>
        </w:rPr>
        <w:t xml:space="preserve">Zgodnie z </w:t>
      </w:r>
      <w:r>
        <w:rPr>
          <w:rStyle w:val="Alb"/>
        </w:rPr>
        <w:t xml:space="preserve">§  7 ust. 1 </w:t>
      </w:r>
      <w:r>
        <w:rPr/>
        <w:t>powyższego</w:t>
      </w:r>
      <w:r>
        <w:rPr>
          <w:rStyle w:val="Alb"/>
        </w:rPr>
        <w:t xml:space="preserve"> rozporządzenia proces </w:t>
      </w:r>
      <w:r>
        <w:rPr>
          <w:rStyle w:val="Wyrnienie"/>
          <w:i w:val="false"/>
        </w:rPr>
        <w:t xml:space="preserve">termicznego przekształcania odpadów </w:t>
      </w:r>
      <w:r>
        <w:rPr/>
        <w:t>nie może być kontynuowany przez okres przekraczający cztery godziny, w przypadku gdy przekraczane są standardy emisyjne określone w odrębnych przepisach. W</w:t>
      </w:r>
      <w:r>
        <w:rPr>
          <w:rStyle w:val="Alb"/>
        </w:rPr>
        <w:t>§ 7 ust. 2 stwierdzono, że</w:t>
      </w:r>
      <w:r>
        <w:rPr/>
        <w:t xml:space="preserve"> łączny czas eksploatacji spalarni lub współspalarni </w:t>
      </w:r>
      <w:r>
        <w:rPr>
          <w:rStyle w:val="Wyrnienie"/>
          <w:i w:val="false"/>
        </w:rPr>
        <w:t>odpadów</w:t>
      </w:r>
      <w:r>
        <w:rPr/>
        <w:t xml:space="preserve"> w warunkach, o których mowa w ust. 1, nie może przekraczać, dla każdej linii technologicznej spalarni lub współspalarni </w:t>
      </w:r>
      <w:r>
        <w:rPr>
          <w:rStyle w:val="Wyrnienie"/>
          <w:i w:val="false"/>
        </w:rPr>
        <w:t>odpadów</w:t>
      </w:r>
      <w:r>
        <w:rPr/>
        <w:t xml:space="preserve"> wyposażonej w odrębne urządzenia ochronne ograniczające emisję do powietrza, 60 godzin w okresie roku kalendarzowego.</w:t>
      </w:r>
    </w:p>
    <w:p>
      <w:pPr>
        <w:pStyle w:val="Normal"/>
        <w:rPr/>
      </w:pPr>
      <w:r>
        <w:rPr/>
        <w:t xml:space="preserve">Należy zaznaczyć, że awaria jest w zakładzie zawsze sytuacją nieplanowaną. W przypadku jej wystąpienia nastąpi możliwie szybkie wyłączenie instalacji, do czasu usunięcia awarii oraz podjęte zostaną niezbędne działania wynikające z rodzaju i skali awarii. </w:t>
      </w:r>
    </w:p>
    <w:p>
      <w:pPr>
        <w:pStyle w:val="Normal"/>
        <w:rPr/>
      </w:pPr>
      <w:r>
        <w:rPr/>
        <w:t>Dodać także należy, że każda linia technologiczna będzie sterowana automatycznie i nadzorowana przez odpowiednio przeszkolonych pracowników, wszelkie urządzenia i systemy będą utrzymywane w należytym stanie technicznym i poddawane wymaganym przeglądom, a wszelkie drobne usterki usuwane na bieżąco w celu unikania ewentualnych awarii.</w:t>
      </w:r>
    </w:p>
    <w:p>
      <w:pPr>
        <w:pStyle w:val="Normal"/>
        <w:rPr/>
      </w:pPr>
      <w:r>
        <w:rPr/>
        <w:t>Trudno jest jednoznacznie ocenić wielkość emisji zanieczyszczeń do powietrza z komina awaryjnego w przypadku wystąpienia awarii, gdyż może ona być uzależniona od wielu różnych czynników, w tym: rodzaju i skali awarii, parametrów funkcjonowania instalacji przed wystąpieniem awarii, rodzaju wsadu i stopnia jego spalenia przed wystąpieniem awarii itp.</w:t>
      </w:r>
    </w:p>
    <w:p>
      <w:pPr>
        <w:pStyle w:val="Normal"/>
        <w:rPr/>
      </w:pPr>
      <w:r>
        <w:rPr/>
        <w:t>Istnieje możliwość, że w czasie wystąpienia awarii chwilowe emisje będą wyższe niż wartości dopuszczalne – jednak czas trwania takiej sytuacji zostanie ograniczony do minimum, więc oddziaływanie sytuacji awaryjnej na jakość powietrza będzie niewielkie.</w:t>
      </w:r>
    </w:p>
    <w:p>
      <w:pPr>
        <w:pStyle w:val="Normal"/>
        <w:rPr/>
      </w:pPr>
      <w:r>
        <w:rPr/>
        <w:t xml:space="preserve">Warto podkreślić, że dla sytuacji awaryjnych nie określa się w pozwoleniach wartości dopuszczalnych – przykładowo w wyniku pożaru zakładu produkcji tworzyw sztucznych czy lakierni emisje zanieczyszczeń na pewno byłyby wysokie i przekraczające wartości dopuszczalne dla tych instalacji. Metodą ograniczania negatywnego wpływu na środowisko dla takich sytuacji jest położenie nacisku na wdrożenie wszystkich możliwych działań prewencyjnych, aby sytuacja awarii nie wystąpiła. </w:t>
      </w:r>
    </w:p>
    <w:p>
      <w:pPr>
        <w:pStyle w:val="Normal"/>
        <w:rPr/>
      </w:pPr>
      <w:r>
        <w:rPr/>
      </w:r>
    </w:p>
    <w:p>
      <w:pPr>
        <w:pStyle w:val="Nagwek4"/>
        <w:numPr>
          <w:ilvl w:val="3"/>
          <w:numId w:val="2"/>
        </w:numPr>
        <w:ind w:hanging="992"/>
        <w:rPr/>
      </w:pPr>
      <w:bookmarkStart w:id="105" w:name="_Toc515019373"/>
      <w:r>
        <w:rPr/>
        <w:t xml:space="preserve"> </w:t>
      </w:r>
      <w:bookmarkEnd w:id="105"/>
      <w:r>
        <w:rPr/>
        <w:t>Emisja z palnika olejowego</w:t>
      </w:r>
    </w:p>
    <w:p>
      <w:pPr>
        <w:pStyle w:val="Normal"/>
        <w:rPr/>
      </w:pPr>
      <w:r>
        <w:rPr/>
        <w:t>Piec rusztowy zaopatrzony jest w palnik olejowy, który jest używany do procesu rozgrzewania oraz wygaszania pieca. Po rozgrzaniu pieca rusztowego za pomocą palnika olejowego, palnik jest usuwany z pieca i proces spalania paliwa odbywa się w sposób autotermiczny. W przypadku spadku temperatury spalania paliwa w komorze spalania i komorach dopalania pieca rusztowego istnieje możliwość ponownego podłączenia i uruchomienia palnika olejowego, który w takiej sytuacji zapewni podtrzymanie parametrów spalania odpadów zgodnie z wymogami w zakresie temperatury spalania.</w:t>
      </w:r>
    </w:p>
    <w:p>
      <w:pPr>
        <w:pStyle w:val="Normal"/>
        <w:rPr/>
      </w:pPr>
      <w:r>
        <w:rPr/>
        <w:t>Parametry palnika są następujące:</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Moc palnika</w:t>
        <w:tab/>
        <w:tab/>
        <w:tab/>
        <w:tab/>
        <w:tab/>
        <w:t>550 – 950 kW</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Rodzaj paliwa</w:t>
        <w:tab/>
        <w:tab/>
        <w:tab/>
        <w:tab/>
        <w:tab/>
        <w:t>olej opałowy lekki</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Maksymalne godzinowe zużycie oleju</w:t>
        <w:tab/>
        <w:t>60 – 90 l/h</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Maksymalne roczne zużycie oleju</w:t>
        <w:tab/>
        <w:tab/>
        <w:t>15 000 l/rok</w:t>
      </w:r>
    </w:p>
    <w:p>
      <w:pPr>
        <w:pStyle w:val="Normal"/>
        <w:rPr>
          <w:highlight w:val="white"/>
        </w:rPr>
      </w:pPr>
      <w:r>
        <w:rPr>
          <w:shd w:fill="FFFFFF" w:val="clear"/>
        </w:rPr>
        <w:t xml:space="preserve">Emisję </w:t>
      </w:r>
      <w:r>
        <w:rPr/>
        <w:t>godzinową</w:t>
      </w:r>
      <w:r>
        <w:rPr>
          <w:shd w:fill="FFFFFF" w:val="clear"/>
        </w:rPr>
        <w:t xml:space="preserve"> zanieczyszczeń z spalania oleju opałowego w palniku pomocniczym obliczono na podstawie przedstawionych danych oraz następujących założeń:</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zawartość siarki – 0,1%</w:t>
      </w:r>
    </w:p>
    <w:p>
      <w:pPr>
        <w:pStyle w:val="Normal"/>
        <w:ind w:left="720" w:hanging="0"/>
        <w:rPr>
          <w:i/>
          <w:i/>
          <w:sz w:val="22"/>
          <w:szCs w:val="22"/>
        </w:rPr>
      </w:pPr>
      <w:r>
        <w:rPr>
          <w:i/>
          <w:sz w:val="22"/>
          <w:szCs w:val="22"/>
        </w:rPr>
        <w:t>na podstawie opracowania: „Kotły i inne stacjonarne urządzenia techniczne o nominalnej mocy cieplnej do 5 MW, w których następuje proces spalania paliw (w celu wytworzenia ciepła lub energii elektrycznej), w raportach do Krajowej bazy za lata 2011-2015”, KOBIZE, 2016</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zawartość NO</w:t>
      </w:r>
      <w:r>
        <w:rPr>
          <w:rFonts w:cs="Times New Roman" w:ascii="Times New Roman" w:hAnsi="Times New Roman"/>
          <w:sz w:val="24"/>
          <w:szCs w:val="24"/>
          <w:vertAlign w:val="subscript"/>
        </w:rPr>
        <w:t>2</w:t>
      </w:r>
      <w:r>
        <w:rPr>
          <w:rFonts w:cs="Times New Roman" w:ascii="Times New Roman" w:hAnsi="Times New Roman"/>
          <w:sz w:val="24"/>
          <w:szCs w:val="24"/>
        </w:rPr>
        <w:t xml:space="preserve"> w NOx – 10%</w:t>
      </w:r>
    </w:p>
    <w:p>
      <w:pPr>
        <w:pStyle w:val="Normal"/>
        <w:ind w:left="720" w:hanging="0"/>
        <w:rPr>
          <w:i/>
          <w:i/>
          <w:sz w:val="22"/>
          <w:szCs w:val="22"/>
        </w:rPr>
      </w:pPr>
      <w:r>
        <w:rPr>
          <w:i/>
          <w:sz w:val="22"/>
          <w:szCs w:val="22"/>
        </w:rPr>
        <w:t>na podstawie publikacji „Procesy katalityczne i adsorpcyjne w ochronie środowiska”, prof. Janusz Trawczyński, Zakład Chemii i Technologii Paliw, Wydział Chemiczny Politechniki Wrocławskiej” wiadomo, iż tlenki azotu emitowane z systemów spalania, składają się głównie z NO, z niewielkim udziałem NO</w:t>
      </w:r>
      <w:r>
        <w:rPr>
          <w:i/>
          <w:szCs w:val="22"/>
          <w:vertAlign w:val="subscript"/>
        </w:rPr>
        <w:t>2</w:t>
      </w:r>
      <w:r>
        <w:rPr>
          <w:i/>
          <w:sz w:val="22"/>
          <w:szCs w:val="22"/>
        </w:rPr>
        <w:t xml:space="preserve"> (ok. 5%); do obliczeń przyjęto wartość mniej korzystną – 10%.</w:t>
      </w:r>
    </w:p>
    <w:p>
      <w:pPr>
        <w:pStyle w:val="PlainText"/>
        <w:numPr>
          <w:ilvl w:val="0"/>
          <w:numId w:val="56"/>
        </w:numPr>
        <w:jc w:val="both"/>
        <w:rPr>
          <w:rFonts w:ascii="Times New Roman" w:hAnsi="Times New Roman" w:cs="Times New Roman"/>
          <w:sz w:val="24"/>
          <w:szCs w:val="24"/>
        </w:rPr>
      </w:pPr>
      <w:r>
        <w:rPr>
          <w:rFonts w:cs="Times New Roman" w:ascii="Times New Roman" w:hAnsi="Times New Roman"/>
          <w:sz w:val="24"/>
          <w:szCs w:val="24"/>
        </w:rPr>
        <w:t>gęstość oleju opałowego lekkiego – 0,835 g/cm</w:t>
      </w:r>
      <w:r>
        <w:rPr>
          <w:rFonts w:cs="Times New Roman" w:ascii="Times New Roman" w:hAnsi="Times New Roman"/>
          <w:sz w:val="24"/>
          <w:szCs w:val="24"/>
          <w:vertAlign w:val="superscript"/>
        </w:rPr>
        <w:t>3</w:t>
      </w:r>
      <w:r>
        <w:rPr>
          <w:rFonts w:cs="Times New Roman" w:ascii="Times New Roman" w:hAnsi="Times New Roman"/>
          <w:sz w:val="24"/>
          <w:szCs w:val="24"/>
        </w:rPr>
        <w:t xml:space="preserve"> = 0,835 kg/l</w:t>
      </w:r>
    </w:p>
    <w:p>
      <w:pPr>
        <w:pStyle w:val="Normal"/>
        <w:ind w:left="720" w:hanging="0"/>
        <w:rPr>
          <w:i/>
          <w:i/>
          <w:sz w:val="22"/>
          <w:szCs w:val="22"/>
        </w:rPr>
      </w:pPr>
      <w:r>
        <w:rPr>
          <w:i/>
          <w:sz w:val="22"/>
          <w:szCs w:val="22"/>
        </w:rPr>
        <w:t>na podstawie opracowania ”Wskaźniki emisji zanieczyszczeń ze spalania paliw – kotły o mocy do</w:t>
        <w:br/>
        <w:t>5 MW”, KOBIZE, 2015</w:t>
      </w:r>
    </w:p>
    <w:p>
      <w:pPr>
        <w:pStyle w:val="Normal"/>
        <w:numPr>
          <w:ilvl w:val="0"/>
          <w:numId w:val="56"/>
        </w:numPr>
        <w:spacing w:before="0" w:after="120"/>
        <w:rPr/>
      </w:pPr>
      <w:r>
        <w:rPr/>
        <w:t>maksymalne godzinowe zużycie oleju opałowego – 90 l/h</w:t>
      </w:r>
    </w:p>
    <w:p>
      <w:pPr>
        <w:pStyle w:val="Normal"/>
        <w:spacing w:before="0" w:after="120"/>
        <w:ind w:left="709" w:firstLine="397"/>
        <w:rPr/>
      </w:pPr>
      <w:r>
        <w:rPr/>
      </w:r>
      <m:oMath xmlns:m="http://schemas.openxmlformats.org/officeDocument/2006/math">
        <m:r>
          <m:rPr>
            <m:lit/>
            <m:nor/>
          </m:rPr>
          <w:rPr>
            <w:rFonts w:ascii="Cambria Math" w:hAnsi="Cambria Math"/>
          </w:rPr>
          <m:t xml:space="preserve">90</m:t>
        </m:r>
        <m:f>
          <m:num>
            <m:r>
              <w:rPr>
                <w:rFonts w:ascii="Cambria Math" w:hAnsi="Cambria Math"/>
              </w:rPr>
              <m:t xml:space="preserve">l</m:t>
            </m:r>
          </m:num>
          <m:den>
            <m:r>
              <w:rPr>
                <w:rFonts w:ascii="Cambria Math" w:hAnsi="Cambria Math"/>
              </w:rPr>
              <m:t xml:space="preserve">h</m:t>
            </m:r>
          </m:den>
        </m:f>
        <m:r>
          <w:rPr>
            <w:rFonts w:ascii="Cambria Math" w:hAnsi="Cambria Math"/>
          </w:rPr>
          <m:t xml:space="preserve">×</m:t>
        </m:r>
        <m:r>
          <w:rPr>
            <w:rFonts w:ascii="Cambria Math" w:hAnsi="Cambria Math"/>
          </w:rPr>
          <m:t xml:space="preserve">0</m:t>
        </m:r>
        <m:r>
          <w:rPr>
            <w:rFonts w:ascii="Cambria Math" w:hAnsi="Cambria Math"/>
          </w:rPr>
          <m:t xml:space="preserve">,</m:t>
        </m:r>
        <m:r>
          <m:rPr>
            <m:lit/>
            <m:nor/>
          </m:rPr>
          <w:rPr>
            <w:rFonts w:ascii="Cambria Math" w:hAnsi="Cambria Math"/>
          </w:rPr>
          <m:t xml:space="preserve">835</m:t>
        </m:r>
        <m:f>
          <m:num>
            <m:r>
              <m:rPr>
                <m:lit/>
                <m:nor/>
              </m:rPr>
              <w:rPr>
                <w:rFonts w:ascii="Cambria Math" w:hAnsi="Cambria Math"/>
              </w:rPr>
              <m:t xml:space="preserve">kg</m:t>
            </m:r>
          </m:num>
          <m:den>
            <m:r>
              <w:rPr>
                <w:rFonts w:ascii="Cambria Math" w:hAnsi="Cambria Math"/>
              </w:rPr>
              <m:t xml:space="preserve">l</m:t>
            </m:r>
          </m:den>
        </m:f>
        <m:r>
          <w:rPr>
            <w:rFonts w:ascii="Cambria Math" w:hAnsi="Cambria Math"/>
          </w:rPr>
          <m:t xml:space="preserve">=</m:t>
        </m:r>
        <m:r>
          <m:rPr>
            <m:lit/>
            <m:nor/>
          </m:rPr>
          <w:rPr>
            <w:rFonts w:ascii="Cambria Math" w:hAnsi="Cambria Math"/>
          </w:rPr>
          <m:t xml:space="preserve">75</m:t>
        </m:r>
        <m:r>
          <w:rPr>
            <w:rFonts w:ascii="Cambria Math" w:hAnsi="Cambria Math"/>
          </w:rPr>
          <m:t xml:space="preserve">,</m:t>
        </m:r>
        <m:r>
          <m:rPr>
            <m:lit/>
            <m:nor/>
          </m:rPr>
          <w:rPr>
            <w:rFonts w:ascii="Cambria Math" w:hAnsi="Cambria Math"/>
          </w:rPr>
          <m:t xml:space="preserve">15</m:t>
        </m:r>
        <m:f>
          <m:num>
            <m:r>
              <m:rPr>
                <m:lit/>
                <m:nor/>
              </m:rPr>
              <w:rPr>
                <w:rFonts w:ascii="Cambria Math" w:hAnsi="Cambria Math"/>
              </w:rPr>
              <m:t xml:space="preserve">kg</m:t>
            </m:r>
          </m:num>
          <m:den>
            <m:r>
              <w:rPr>
                <w:rFonts w:ascii="Cambria Math" w:hAnsi="Cambria Math"/>
              </w:rPr>
              <m:t xml:space="preserve">h</m:t>
            </m:r>
          </m:den>
        </m:f>
        <m:r>
          <w:rPr>
            <w:rFonts w:ascii="Cambria Math" w:hAnsi="Cambria Math"/>
          </w:rPr>
          <m:t xml:space="preserve">=</m:t>
        </m:r>
        <m:r>
          <w:rPr>
            <w:rFonts w:ascii="Cambria Math" w:hAnsi="Cambria Math"/>
          </w:rPr>
          <m:t xml:space="preserve">0</m:t>
        </m:r>
        <m:r>
          <w:rPr>
            <w:rFonts w:ascii="Cambria Math" w:hAnsi="Cambria Math"/>
          </w:rPr>
          <m:t xml:space="preserve">,</m:t>
        </m:r>
        <m:r>
          <m:rPr>
            <m:lit/>
            <m:nor/>
          </m:rPr>
          <w:rPr>
            <w:rFonts w:ascii="Cambria Math" w:hAnsi="Cambria Math"/>
          </w:rPr>
          <m:t xml:space="preserve">0752</m:t>
        </m:r>
        <m:f>
          <m:num>
            <m:r>
              <m:rPr>
                <m:lit/>
                <m:nor/>
              </m:rPr>
              <w:rPr>
                <w:rFonts w:ascii="Cambria Math" w:hAnsi="Cambria Math"/>
              </w:rPr>
              <m:t xml:space="preserve">Mg</m:t>
            </m:r>
          </m:num>
          <m:den>
            <m:r>
              <w:rPr>
                <w:rFonts w:ascii="Cambria Math" w:hAnsi="Cambria Math"/>
              </w:rPr>
              <m:t xml:space="preserve">h</m:t>
            </m:r>
          </m:den>
        </m:f>
      </m:oMath>
    </w:p>
    <w:p>
      <w:pPr>
        <w:pStyle w:val="Normal"/>
        <w:rPr>
          <w:iCs/>
        </w:rPr>
      </w:pPr>
      <w:r>
        <w:rPr/>
        <w:t xml:space="preserve">Emisję </w:t>
      </w:r>
      <w:r>
        <w:rPr>
          <w:shd w:fill="FFFFFF" w:val="clear"/>
        </w:rPr>
        <w:t>zanieczyszczeń</w:t>
      </w:r>
      <w:r>
        <w:rPr/>
        <w:t xml:space="preserve"> obliczono na podstawie wskaźników emisji, pochodzących</w:t>
        <w:br/>
        <w:t xml:space="preserve">z opracowania </w:t>
      </w:r>
      <w:r>
        <w:rPr>
          <w:i/>
        </w:rPr>
        <w:t>”Wskaźniki emisji zanieczyszczeń ze spalania paliw – kotły o mocy do 5 MW”,</w:t>
      </w:r>
      <w:r>
        <w:rPr/>
        <w:t xml:space="preserve"> KOBIZE, 2015. Ponadto założono, że emisja pyłu PM2,5 równa jest co do wartości emisji pyłu PM10. </w:t>
      </w:r>
      <w:r>
        <w:rPr>
          <w:iCs/>
        </w:rPr>
        <w:t xml:space="preserve">Emisję godzinową zanieczyszczeń ze spalania oleju opałowego w palniku przedstawiono </w:t>
      </w:r>
      <w:r>
        <w:rPr>
          <w:shd w:fill="FFFFFF" w:val="clear"/>
        </w:rPr>
        <w:t>poniżej</w:t>
      </w:r>
      <w:r>
        <w:rPr>
          <w:iCs/>
        </w:rPr>
        <w:t>.</w:t>
      </w:r>
    </w:p>
    <w:p>
      <w:pPr>
        <w:pStyle w:val="Normal"/>
        <w:rPr>
          <w:iCs/>
        </w:rPr>
      </w:pPr>
      <w:r>
        <w:rPr>
          <w:iCs/>
        </w:rPr>
      </w:r>
    </w:p>
    <w:p>
      <w:pPr>
        <w:pStyle w:val="Caption"/>
        <w:keepNext/>
        <w:jc w:val="left"/>
        <w:rPr/>
      </w:pPr>
      <w:r>
        <w:rPr/>
        <w:t xml:space="preserve">Tabela </w:t>
      </w:r>
      <w:r>
        <w:rPr/>
        <w:fldChar w:fldCharType="begin"/>
      </w:r>
      <w:r>
        <w:instrText> SEQ Tabela \* ARABIC </w:instrText>
      </w:r>
      <w:r>
        <w:fldChar w:fldCharType="separate"/>
      </w:r>
      <w:r>
        <w:t>30</w:t>
      </w:r>
      <w:r>
        <w:fldChar w:fldCharType="end"/>
      </w:r>
      <w:r>
        <w:rPr/>
        <w:t>.</w:t>
      </w:r>
      <w:r>
        <w:rPr>
          <w:b w:val="false"/>
        </w:rPr>
        <w:t xml:space="preserve"> Emisja zanieczyszczeń z palnika pomocniczego</w:t>
      </w:r>
    </w:p>
    <w:tbl>
      <w:tblPr>
        <w:tblW w:w="9386"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2346"/>
        <w:gridCol w:w="2347"/>
        <w:gridCol w:w="2346"/>
        <w:gridCol w:w="2346"/>
      </w:tblGrid>
      <w:tr>
        <w:trPr>
          <w:trHeight w:val="488"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Zanieczyszczenie</w:t>
            </w:r>
          </w:p>
        </w:tc>
        <w:tc>
          <w:tcPr>
            <w:tcW w:w="23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Maksymalne godzinowe zużycie oleju</w:t>
              <w:br/>
              <w:t>[Mg/h]</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 xml:space="preserve">Wskaźnik </w:t>
              <w:br/>
              <w:t>[g/Mg]</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Emisja</w:t>
              <w:br/>
              <w:t>[kg/h]</w:t>
            </w:r>
          </w:p>
        </w:tc>
      </w:tr>
      <w:tr>
        <w:trPr>
          <w:trHeight w:val="319"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siarki</w:t>
            </w:r>
          </w:p>
        </w:tc>
        <w:tc>
          <w:tcPr>
            <w:tcW w:w="2347"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0,0752</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20 359,2*s</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0,1530</w:t>
            </w:r>
          </w:p>
        </w:tc>
      </w:tr>
      <w:tr>
        <w:trPr>
          <w:trHeight w:val="60"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tlenki azotu</w:t>
            </w:r>
          </w:p>
        </w:tc>
        <w:tc>
          <w:tcPr>
            <w:tcW w:w="234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22"/>
              </w:rPr>
            </w:pPr>
            <w:r>
              <w:rPr>
                <w:rFonts w:cs="Arial" w:ascii="Arial" w:hAnsi="Arial"/>
                <w:sz w:val="18"/>
                <w:szCs w:val="22"/>
              </w:rPr>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2 395,2</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0,1800</w:t>
            </w:r>
          </w:p>
        </w:tc>
      </w:tr>
      <w:tr>
        <w:trPr>
          <w:trHeight w:val="60"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azotu</w:t>
            </w:r>
          </w:p>
        </w:tc>
        <w:tc>
          <w:tcPr>
            <w:tcW w:w="234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22"/>
              </w:rPr>
            </w:pPr>
            <w:r>
              <w:rPr>
                <w:rFonts w:cs="Arial" w:ascii="Arial" w:hAnsi="Arial"/>
                <w:sz w:val="18"/>
                <w:szCs w:val="22"/>
              </w:rPr>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10%NOx</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0,0180</w:t>
            </w:r>
          </w:p>
        </w:tc>
      </w:tr>
      <w:tr>
        <w:trPr>
          <w:trHeight w:val="129"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tlenek węgla</w:t>
            </w:r>
          </w:p>
        </w:tc>
        <w:tc>
          <w:tcPr>
            <w:tcW w:w="234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22"/>
              </w:rPr>
            </w:pPr>
            <w:r>
              <w:rPr>
                <w:rFonts w:cs="Arial" w:ascii="Arial" w:hAnsi="Arial"/>
                <w:sz w:val="18"/>
                <w:szCs w:val="22"/>
              </w:rPr>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598,8</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0,0450</w:t>
            </w:r>
          </w:p>
        </w:tc>
      </w:tr>
      <w:tr>
        <w:trPr>
          <w:trHeight w:val="120"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PM10</w:t>
            </w:r>
          </w:p>
        </w:tc>
        <w:tc>
          <w:tcPr>
            <w:tcW w:w="234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22"/>
              </w:rPr>
            </w:pPr>
            <w:r>
              <w:rPr>
                <w:rFonts w:cs="Arial" w:ascii="Arial" w:hAnsi="Arial"/>
                <w:sz w:val="18"/>
                <w:szCs w:val="22"/>
              </w:rPr>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407,184</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0,0306</w:t>
            </w:r>
          </w:p>
        </w:tc>
      </w:tr>
      <w:tr>
        <w:trPr>
          <w:trHeight w:val="60"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PM2,5</w:t>
            </w:r>
          </w:p>
        </w:tc>
        <w:tc>
          <w:tcPr>
            <w:tcW w:w="234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22"/>
              </w:rPr>
            </w:pPr>
            <w:r>
              <w:rPr>
                <w:rFonts w:cs="Arial" w:ascii="Arial" w:hAnsi="Arial"/>
                <w:sz w:val="18"/>
                <w:szCs w:val="22"/>
              </w:rPr>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100% PM10</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0,0306</w:t>
            </w:r>
          </w:p>
        </w:tc>
      </w:tr>
    </w:tbl>
    <w:p>
      <w:pPr>
        <w:pStyle w:val="Normal"/>
        <w:spacing w:lineRule="auto" w:line="360"/>
        <w:rPr/>
      </w:pPr>
      <w:r>
        <w:rPr/>
      </w:r>
    </w:p>
    <w:p>
      <w:pPr>
        <w:pStyle w:val="Normal"/>
        <w:rPr>
          <w:szCs w:val="24"/>
        </w:rPr>
      </w:pPr>
      <w:r>
        <w:rPr/>
        <w:t>Tok o</w:t>
      </w:r>
      <w:r>
        <w:rPr>
          <w:szCs w:val="24"/>
        </w:rPr>
        <w:t>bliczeń dla przykładowego zanieczyszczenia (tlenków azotu):</w:t>
      </w:r>
    </w:p>
    <w:p>
      <w:pPr>
        <w:pStyle w:val="Normal"/>
        <w:spacing w:before="120" w:after="120"/>
        <w:rPr>
          <w:b/>
          <w:b/>
        </w:rPr>
      </w:pPr>
      <w:r>
        <w:rPr>
          <w:i/>
        </w:rPr>
        <w:t>E</w:t>
      </w:r>
      <w:r>
        <w:rPr>
          <w:i/>
          <w:sz w:val="28"/>
          <w:szCs w:val="28"/>
          <w:vertAlign w:val="subscript"/>
        </w:rPr>
        <w:t>tlenki azotu</w:t>
      </w:r>
      <w:r>
        <w:rPr>
          <w:i/>
        </w:rPr>
        <w:t xml:space="preserve"> =</w:t>
      </w:r>
      <w:r>
        <w:rPr>
          <w:b/>
        </w:rPr>
        <w:t xml:space="preserve"> </w:t>
      </w:r>
      <w:r>
        <w:rPr>
          <w:b/>
        </w:rPr>
      </w:r>
      <m:oMath xmlns:m="http://schemas.openxmlformats.org/officeDocument/2006/math">
        <m:r>
          <w:rPr>
            <w:rFonts w:ascii="Cambria Math" w:hAnsi="Cambria Math"/>
          </w:rPr>
          <m:t xml:space="preserve">0</m:t>
        </m:r>
        <m:r>
          <w:rPr>
            <w:rFonts w:ascii="Cambria Math" w:hAnsi="Cambria Math"/>
          </w:rPr>
          <m:t xml:space="preserve">,</m:t>
        </m:r>
        <m:r>
          <m:rPr>
            <m:lit/>
            <m:nor/>
          </m:rPr>
          <w:rPr>
            <w:rFonts w:ascii="Cambria Math" w:hAnsi="Cambria Math"/>
          </w:rPr>
          <m:t xml:space="preserve">0752</m:t>
        </m:r>
        <m:f>
          <m:num>
            <m:r>
              <m:rPr>
                <m:lit/>
                <m:nor/>
              </m:rPr>
              <w:rPr>
                <w:rFonts w:ascii="Cambria Math" w:hAnsi="Cambria Math"/>
              </w:rPr>
              <m:t xml:space="preserve">Mg</m:t>
            </m:r>
          </m:num>
          <m:den>
            <m:r>
              <w:rPr>
                <w:rFonts w:ascii="Cambria Math" w:hAnsi="Cambria Math"/>
              </w:rPr>
              <m:t xml:space="preserve">h</m:t>
            </m:r>
          </m:den>
        </m:f>
        <m:r>
          <w:rPr>
            <w:rFonts w:ascii="Cambria Math" w:hAnsi="Cambria Math"/>
          </w:rPr>
          <m:t xml:space="preserve">×</m:t>
        </m:r>
        <m:r>
          <m:rPr>
            <m:lit/>
            <m:nor/>
          </m:rPr>
          <w:rPr>
            <w:rFonts w:ascii="Cambria Math" w:hAnsi="Cambria Math"/>
          </w:rPr>
          <m:t xml:space="preserve">2395</m:t>
        </m:r>
        <m:r>
          <w:rPr>
            <w:rFonts w:ascii="Cambria Math" w:hAnsi="Cambria Math"/>
          </w:rPr>
          <m:t xml:space="preserve">,2</m:t>
        </m:r>
        <m:f>
          <m:num>
            <m:r>
              <w:rPr>
                <w:rFonts w:ascii="Cambria Math" w:hAnsi="Cambria Math"/>
              </w:rPr>
              <m:t xml:space="preserve">g</m:t>
            </m:r>
          </m:num>
          <m:den>
            <m:r>
              <m:rPr>
                <m:lit/>
                <m:nor/>
              </m:rPr>
              <w:rPr>
                <w:rFonts w:ascii="Cambria Math" w:hAnsi="Cambria Math"/>
              </w:rPr>
              <m:t xml:space="preserve">Mg</m:t>
            </m:r>
          </m:den>
        </m:f>
        <m:f>
          <m:fPr>
            <m:type m:val="lin"/>
          </m:fPr>
          <m:num>
            <m:r>
              <m:t xml:space="preserve"> </m:t>
            </m:r>
          </m:num>
          <m:den>
            <m:r>
              <m:rPr>
                <m:lit/>
                <m:nor/>
              </m:rPr>
              <w:rPr>
                <w:rFonts w:ascii="Cambria Math" w:hAnsi="Cambria Math"/>
              </w:rPr>
              <m:t xml:space="preserve">1000</m:t>
            </m:r>
          </m:den>
        </m:f>
        <m:r>
          <w:rPr>
            <w:rFonts w:ascii="Cambria Math" w:hAnsi="Cambria Math"/>
          </w:rPr>
          <m:t xml:space="preserve">=</m:t>
        </m:r>
        <m:r>
          <w:rPr>
            <w:rFonts w:ascii="Cambria Math" w:hAnsi="Cambria Math"/>
          </w:rPr>
          <m:t xml:space="preserve">0</m:t>
        </m:r>
        <m:r>
          <w:rPr>
            <w:rFonts w:ascii="Cambria Math" w:hAnsi="Cambria Math"/>
          </w:rPr>
          <m:t xml:space="preserve">,</m:t>
        </m:r>
        <m:r>
          <m:rPr>
            <m:lit/>
            <m:nor/>
          </m:rPr>
          <w:rPr>
            <w:rFonts w:ascii="Cambria Math" w:hAnsi="Cambria Math"/>
          </w:rPr>
          <m:t xml:space="preserve">18</m:t>
        </m:r>
        <m:f>
          <m:num>
            <m:r>
              <m:rPr>
                <m:lit/>
                <m:nor/>
              </m:rPr>
              <w:rPr>
                <w:rFonts w:ascii="Cambria Math" w:hAnsi="Cambria Math"/>
              </w:rPr>
              <m:t xml:space="preserve">kg</m:t>
            </m:r>
          </m:num>
          <m:den>
            <m:r>
              <w:rPr>
                <w:rFonts w:ascii="Cambria Math" w:hAnsi="Cambria Math"/>
              </w:rPr>
              <m:t xml:space="preserve">h</m:t>
            </m:r>
          </m:den>
        </m:f>
      </m:oMath>
    </w:p>
    <w:p>
      <w:pPr>
        <w:pStyle w:val="Normal"/>
        <w:rPr/>
      </w:pPr>
      <w:r>
        <w:rPr/>
        <w:t>Porównanie emisji ze spalania paliwa alternatywnego w piecu rusztowym oraz emisji ze spalania oleju opałowego w palniku rozpałkowym przedstawia poniższa tabela.</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31</w:t>
      </w:r>
      <w:r>
        <w:fldChar w:fldCharType="end"/>
      </w:r>
      <w:r>
        <w:rPr/>
        <w:t>.</w:t>
      </w:r>
      <w:r>
        <w:rPr>
          <w:b w:val="false"/>
        </w:rPr>
        <w:t xml:space="preserve"> Porównanie emisji ze spalania odpadów w piecu rusztowym oraz emisji ze spalania oleju opałowego w palniku rozpałkowym</w:t>
      </w:r>
    </w:p>
    <w:tbl>
      <w:tblPr>
        <w:tblW w:w="9102"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2440"/>
        <w:gridCol w:w="3628"/>
        <w:gridCol w:w="3034"/>
      </w:tblGrid>
      <w:tr>
        <w:trPr>
          <w:trHeight w:val="139"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Zanieczyszczenie</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Emisja z palnika pomocniczego[kg/h]</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Emisja  z pieca rusztowego [kg/h]</w:t>
            </w:r>
          </w:p>
        </w:tc>
      </w:tr>
      <w:tr>
        <w:trPr>
          <w:trHeight w:val="102"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siarki</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0,1530</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0,8442</w:t>
            </w:r>
          </w:p>
        </w:tc>
      </w:tr>
      <w:tr>
        <w:trPr>
          <w:trHeight w:val="78"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tlenki azotu</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0,1800</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1,6884</w:t>
            </w:r>
          </w:p>
        </w:tc>
      </w:tr>
      <w:tr>
        <w:trPr>
          <w:trHeight w:val="209"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azotu</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0,0180</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0,1688</w:t>
            </w:r>
          </w:p>
        </w:tc>
      </w:tr>
      <w:tr>
        <w:trPr>
          <w:trHeight w:val="185"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tlenek węgla</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0,0450</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0,6332</w:t>
            </w:r>
          </w:p>
        </w:tc>
      </w:tr>
      <w:tr>
        <w:trPr>
          <w:trHeight w:val="305"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PM10</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0,0306</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0,1266</w:t>
            </w:r>
          </w:p>
        </w:tc>
      </w:tr>
      <w:tr>
        <w:trPr>
          <w:trHeight w:val="60"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PM2,5</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0,0306</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0,1266</w:t>
            </w:r>
          </w:p>
        </w:tc>
      </w:tr>
    </w:tbl>
    <w:p>
      <w:pPr>
        <w:pStyle w:val="Normal"/>
        <w:spacing w:lineRule="auto" w:line="360"/>
        <w:rPr/>
      </w:pPr>
      <w:r>
        <w:rPr/>
      </w:r>
    </w:p>
    <w:p>
      <w:pPr>
        <w:pStyle w:val="Normal"/>
        <w:rPr/>
      </w:pPr>
      <w:r>
        <w:rPr/>
        <w:t>Z powyższego zestawienia wynika, że emisja zanieczyszczeń ze spalania paliwa alternatywnego w piecu rusztowym jest znacznie wyższa niż ze spalanie oleju opałowego w palniku rozpałkowym. Zanieczyszczenia z obu źródeł emisji są odprowadzane tym samym emitorem.</w:t>
      </w:r>
    </w:p>
    <w:p>
      <w:pPr>
        <w:pStyle w:val="Normal"/>
        <w:rPr/>
      </w:pPr>
      <w:r>
        <w:rPr/>
        <w:t>Do obliczeń rozprzestrzeniania się zanieczyszczeń przyjęto emisję równą emisji ze spalania paliwa alternatywnego w piecu rusztowym przez cały czas pracy instalacji, czyli przez 8 200 h/rok.</w:t>
      </w:r>
    </w:p>
    <w:p>
      <w:pPr>
        <w:pStyle w:val="Nagwek4"/>
        <w:numPr>
          <w:ilvl w:val="3"/>
          <w:numId w:val="2"/>
        </w:numPr>
        <w:ind w:hanging="992"/>
        <w:rPr/>
      </w:pPr>
      <w:bookmarkStart w:id="106" w:name="_Toc515019374"/>
      <w:r>
        <w:rPr/>
        <w:t xml:space="preserve"> </w:t>
      </w:r>
      <w:bookmarkEnd w:id="106"/>
      <w:r>
        <w:rPr/>
        <w:t>Emisja z załadunku silosów</w:t>
      </w:r>
    </w:p>
    <w:p>
      <w:pPr>
        <w:pStyle w:val="Normal"/>
        <w:rPr/>
      </w:pPr>
      <w:r>
        <w:rPr/>
        <w:t>Spaliny po przejściu przez kocioł odzysknicowy są wtłaczane przez wentylator wyciągowy do systemu oczyszczania spalin pierwszego stopnia, gdzie po przejściu spalin przez zwężkę Venturiego  następuje proces dozowania sorbentów w postaci wodorowęglanu sodu i węgla aktywnego, poprzedzający ich dalsze oczyszczanie. System oczyszczania spalin pierwszego stopnia jest zaopatrzony w dwa silosy, z których podawane są dwa rodzaje sorbentów w postaci:  wodorowęglanu sodu oraz węgla aktywnego.</w:t>
      </w:r>
    </w:p>
    <w:p>
      <w:pPr>
        <w:pStyle w:val="Normal"/>
        <w:rPr/>
      </w:pPr>
      <w:r>
        <w:rPr>
          <w:u w:val="single"/>
        </w:rPr>
        <w:t xml:space="preserve">Odpowietrzanie silosów z sorbentami w związku z ich załadunkiem będzie odbywać się wewnątrz hali. Nie będzie emitora odprowadzającego zanieczyszczenia poza halę. </w:t>
      </w:r>
      <w:r>
        <w:rPr/>
        <w:t xml:space="preserve">W związku z tym w obliczeniach rozprzestrzeniania nie uwzględniono emisji z załadunku silosów. </w:t>
      </w:r>
    </w:p>
    <w:p>
      <w:pPr>
        <w:pStyle w:val="Normal"/>
        <w:rPr>
          <w:color w:val="0000FF"/>
        </w:rPr>
      </w:pPr>
      <w:r>
        <w:rPr>
          <w:color w:val="0000FF"/>
        </w:rPr>
      </w:r>
    </w:p>
    <w:p>
      <w:pPr>
        <w:pStyle w:val="Nagwek4"/>
        <w:numPr>
          <w:ilvl w:val="3"/>
          <w:numId w:val="2"/>
        </w:numPr>
        <w:ind w:hanging="992"/>
        <w:rPr/>
      </w:pPr>
      <w:bookmarkStart w:id="107" w:name="_Toc515019375"/>
      <w:r>
        <w:rPr/>
        <w:t xml:space="preserve"> </w:t>
      </w:r>
      <w:bookmarkEnd w:id="107"/>
      <w:r>
        <w:rPr/>
        <w:t>Emisja z magazynowania paliwa</w:t>
      </w:r>
    </w:p>
    <w:p>
      <w:pPr>
        <w:pStyle w:val="Normal"/>
        <w:rPr/>
      </w:pPr>
      <w:r>
        <w:rPr>
          <w:u w:val="single"/>
        </w:rPr>
        <w:t>Nie przewiduje się magazynowania paliwa.</w:t>
      </w:r>
      <w:r>
        <w:rPr/>
        <w:t xml:space="preserve"> Całość dostarczanego paliwa będzie na bieżąco podawana do leja zasypowego. Cała operacja rozładunku będzie się odbywać w pomieszczeniu, poprzez rampę rozładowczą. Powietrze z części budynku, gdzie będzie następowało rozładowanie paliwa, będzie zasysane do hali kotłowni, poprzez wentylator wyciągowy. W ten sposób w strefie rozładunku będzie panowało lekkie podciśnienie, a w najgorszym razie będzie następował wymuszony ruch powietrza do wewnątrz budynku. To rozwiązanie zapewni całkowite wyeliminowanie uciążliwości zapachowej, która mogłaby towarzyszyć rozładunkowi paliwa alternatywnego.</w:t>
      </w:r>
    </w:p>
    <w:p>
      <w:pPr>
        <w:pStyle w:val="Normal"/>
        <w:rPr>
          <w:color w:val="0000FF"/>
        </w:rPr>
      </w:pPr>
      <w:r>
        <w:rPr>
          <w:color w:val="0000FF"/>
        </w:rPr>
      </w:r>
    </w:p>
    <w:p>
      <w:pPr>
        <w:pStyle w:val="Nagwek4"/>
        <w:numPr>
          <w:ilvl w:val="3"/>
          <w:numId w:val="2"/>
        </w:numPr>
        <w:ind w:hanging="992"/>
        <w:rPr/>
      </w:pPr>
      <w:bookmarkStart w:id="108" w:name="_Toc515019376"/>
      <w:r>
        <w:rPr/>
        <w:t xml:space="preserve"> </w:t>
      </w:r>
      <w:bookmarkEnd w:id="108"/>
      <w:r>
        <w:rPr/>
        <w:t>Emisja z ruchu pojazdów po terenie inwestycji</w:t>
      </w:r>
    </w:p>
    <w:p>
      <w:pPr>
        <w:pStyle w:val="Normal"/>
        <w:rPr/>
      </w:pPr>
      <w:r>
        <w:rPr/>
        <w:t>Emisja związana z transportem (emisja niezorganizowana) będzie powstawać w wyniku poruszania się po terenie zakładu samochodów osobowych, dostawczych do 3,5 t oraz ciężarowych.</w:t>
      </w:r>
    </w:p>
    <w:p>
      <w:pPr>
        <w:pStyle w:val="Normal"/>
        <w:rPr/>
      </w:pPr>
      <w:r>
        <w:rPr/>
        <w:t>Przewidywana struktura ruchu:</w:t>
      </w:r>
    </w:p>
    <w:p>
      <w:pPr>
        <w:pStyle w:val="Normal"/>
        <w:numPr>
          <w:ilvl w:val="0"/>
          <w:numId w:val="56"/>
        </w:numPr>
        <w:ind w:left="709" w:hanging="312"/>
        <w:rPr/>
      </w:pPr>
      <w:r>
        <w:rPr/>
        <w:t>Samochody osobowe. Maksymalnie 10 pracowników, maksymalnie w ciągu doby 10 samochodów osobowych.</w:t>
      </w:r>
    </w:p>
    <w:p>
      <w:pPr>
        <w:pStyle w:val="Normal"/>
        <w:numPr>
          <w:ilvl w:val="0"/>
          <w:numId w:val="56"/>
        </w:numPr>
        <w:ind w:left="709" w:hanging="312"/>
        <w:rPr/>
      </w:pPr>
      <w:r>
        <w:rPr/>
        <w:t xml:space="preserve">Samochody dostawcze do 3,5 t. Samochód serwisowy, maksymalnie 1/dobę. </w:t>
      </w:r>
    </w:p>
    <w:p>
      <w:pPr>
        <w:pStyle w:val="Normal"/>
        <w:numPr>
          <w:ilvl w:val="0"/>
          <w:numId w:val="56"/>
        </w:numPr>
        <w:ind w:left="709" w:hanging="312"/>
        <w:rPr/>
      </w:pPr>
      <w:r>
        <w:rPr/>
        <w:t>Samochody ciężarowe. Typowa ładowność naczepy z ruchomą podłogą typu TIR to 28 ton. Maksymalna dobowa wydajność linii technologicznej o mocy 2,5 MW to 18 Mg paliwa alternatywnego/dobę. Do przywiezienia wymienionej ilości odpadów na teren zakładu wystarczy zatem jeden samochód TIR. Dodatkowo okresowo będzie się odbywał wywóz popiołu i żużla z procesu spalania oraz wywóz pyłów z oczyszczania spalin, Będzie on realizowany pojazdami typu TIR. Przewiduje się maksymalnie jeden samochód ciężarowy na dobę, przeznaczony na ten cel. Łącznie w ciągu doby maksymalnie 2 samochody ciężarowe.</w:t>
      </w:r>
    </w:p>
    <w:p>
      <w:pPr>
        <w:pStyle w:val="Normal"/>
        <w:rPr/>
      </w:pPr>
      <w:r>
        <w:rPr/>
        <w:t>Do obliczeń założono, że w ciągu 1 najbardziej niekorzystnej godziny po terenie zakładu może poruszać się 100% ruchu dobowego, czyli:</w:t>
      </w:r>
    </w:p>
    <w:p>
      <w:pPr>
        <w:pStyle w:val="Normal"/>
        <w:numPr>
          <w:ilvl w:val="0"/>
          <w:numId w:val="56"/>
        </w:numPr>
        <w:ind w:left="709" w:hanging="312"/>
        <w:rPr/>
      </w:pPr>
      <w:r>
        <w:rPr/>
        <w:t>samochody osobowe i dostawcze – 11 pojazdów/h,</w:t>
      </w:r>
    </w:p>
    <w:p>
      <w:pPr>
        <w:pStyle w:val="Normal"/>
        <w:numPr>
          <w:ilvl w:val="0"/>
          <w:numId w:val="56"/>
        </w:numPr>
        <w:ind w:left="709" w:hanging="312"/>
        <w:rPr/>
      </w:pPr>
      <w:r>
        <w:rPr/>
        <w:t>samochody ciężarowe – 2 pojazdy/h.</w:t>
      </w:r>
    </w:p>
    <w:p>
      <w:pPr>
        <w:pStyle w:val="Normal"/>
        <w:rPr/>
      </w:pPr>
      <w:r>
        <w:rPr/>
        <w:t>Trasy przejazdu pojazdów poruszających się po terenie zakładu potraktowano jako emitory liniowe. Parametry emitorów są następujące:</w:t>
      </w:r>
    </w:p>
    <w:p>
      <w:pPr>
        <w:pStyle w:val="Western"/>
        <w:spacing w:beforeAutospacing="0" w:before="0" w:afterAutospacing="0" w:after="0"/>
        <w:jc w:val="both"/>
        <w:rPr>
          <w:b/>
          <w:b/>
        </w:rPr>
      </w:pPr>
      <w:r>
        <w:rPr>
          <w:b/>
        </w:rPr>
      </w:r>
    </w:p>
    <w:p>
      <w:pPr>
        <w:pStyle w:val="Western"/>
        <w:spacing w:beforeAutospacing="0" w:before="0" w:afterAutospacing="0" w:after="0"/>
        <w:jc w:val="both"/>
        <w:rPr>
          <w:b/>
          <w:b/>
        </w:rPr>
      </w:pPr>
      <w:r>
        <w:rPr>
          <w:b/>
        </w:rPr>
        <w:t>Emitor O1: ruch samochodów osobowych i dostawczych do 3,5 t</w:t>
      </w:r>
    </w:p>
    <w:p>
      <w:pPr>
        <w:pStyle w:val="Western"/>
        <w:numPr>
          <w:ilvl w:val="0"/>
          <w:numId w:val="68"/>
        </w:numPr>
        <w:spacing w:beforeAutospacing="0" w:before="0" w:afterAutospacing="0" w:after="0"/>
        <w:jc w:val="both"/>
        <w:rPr/>
      </w:pPr>
      <w:r>
        <w:rPr/>
        <w:t>wysokość</w:t>
        <w:tab/>
        <w:tab/>
        <w:tab/>
        <w:t>0,5 m;</w:t>
      </w:r>
    </w:p>
    <w:p>
      <w:pPr>
        <w:pStyle w:val="Western"/>
        <w:numPr>
          <w:ilvl w:val="0"/>
          <w:numId w:val="68"/>
        </w:numPr>
        <w:spacing w:beforeAutospacing="0" w:before="0" w:afterAutospacing="0" w:after="0"/>
        <w:jc w:val="both"/>
        <w:rPr/>
      </w:pPr>
      <w:r>
        <w:rPr/>
        <w:t>długość</w:t>
        <w:tab/>
        <w:tab/>
        <w:tab/>
        <w:t>0,163 km.</w:t>
      </w:r>
    </w:p>
    <w:p>
      <w:pPr>
        <w:pStyle w:val="Western"/>
        <w:spacing w:beforeAutospacing="0" w:before="0" w:afterAutospacing="0" w:after="0"/>
        <w:jc w:val="both"/>
        <w:rPr>
          <w:b/>
          <w:b/>
        </w:rPr>
      </w:pPr>
      <w:r>
        <w:rPr>
          <w:b/>
        </w:rPr>
        <w:t>Emitor C1: ruch samochodów ciężarowych</w:t>
      </w:r>
    </w:p>
    <w:p>
      <w:pPr>
        <w:pStyle w:val="Western"/>
        <w:numPr>
          <w:ilvl w:val="0"/>
          <w:numId w:val="67"/>
        </w:numPr>
        <w:spacing w:beforeAutospacing="0" w:before="0" w:afterAutospacing="0" w:after="0"/>
        <w:jc w:val="both"/>
        <w:rPr/>
      </w:pPr>
      <w:r>
        <w:rPr/>
        <w:t>wysokość</w:t>
        <w:tab/>
        <w:tab/>
        <w:tab/>
        <w:t>1 m;</w:t>
      </w:r>
    </w:p>
    <w:p>
      <w:pPr>
        <w:pStyle w:val="Western"/>
        <w:numPr>
          <w:ilvl w:val="0"/>
          <w:numId w:val="67"/>
        </w:numPr>
        <w:spacing w:beforeAutospacing="0" w:before="0" w:afterAutospacing="0" w:after="0"/>
        <w:jc w:val="both"/>
        <w:rPr/>
      </w:pPr>
      <w:r>
        <w:rPr/>
        <w:t>długość</w:t>
        <w:tab/>
        <w:tab/>
        <w:tab/>
        <w:t>0,163 km.</w:t>
      </w:r>
    </w:p>
    <w:p>
      <w:pPr>
        <w:pStyle w:val="Western"/>
        <w:spacing w:beforeAutospacing="0" w:before="0" w:afterAutospacing="0" w:after="0"/>
        <w:jc w:val="both"/>
        <w:rPr>
          <w:color w:val="0000FF"/>
        </w:rPr>
      </w:pPr>
      <w:r>
        <w:rPr>
          <w:color w:val="0000FF"/>
        </w:rPr>
      </w:r>
    </w:p>
    <w:p>
      <w:pPr>
        <w:pStyle w:val="Normal"/>
        <w:rPr/>
      </w:pPr>
      <w:r>
        <w:rPr/>
        <w:t>Schematyczną trasę przejazdu pojazdów, które będą poruszać się po terenie zakładu po realizacji inwestycji, przedstawiono poniżej.</w:t>
      </w:r>
    </w:p>
    <w:p>
      <w:pPr>
        <w:pStyle w:val="Normal"/>
        <w:spacing w:lineRule="auto" w:line="360"/>
        <w:rPr/>
      </w:pPr>
      <w:r>
        <w:rPr/>
      </w:r>
    </w:p>
    <w:p>
      <w:pPr>
        <w:pStyle w:val="Western"/>
        <w:keepNext/>
        <w:spacing w:beforeAutospacing="0" w:before="0" w:afterAutospacing="0" w:after="0"/>
        <w:jc w:val="center"/>
        <w:rPr>
          <w:color w:val="0000FF"/>
        </w:rPr>
      </w:pPr>
      <w:r>
        <w:rPr/>
        <w:drawing>
          <wp:inline distT="0" distB="0" distL="0" distR="0">
            <wp:extent cx="4060825" cy="5621655"/>
            <wp:effectExtent l="0" t="0" r="0" b="0"/>
            <wp:docPr id="50" name="Obraz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25" descr=""/>
                    <pic:cNvPicPr>
                      <a:picLocks noChangeAspect="1" noChangeArrowheads="1"/>
                    </pic:cNvPicPr>
                  </pic:nvPicPr>
                  <pic:blipFill>
                    <a:blip r:embed="rId66"/>
                    <a:stretch>
                      <a:fillRect/>
                    </a:stretch>
                  </pic:blipFill>
                  <pic:spPr bwMode="auto">
                    <a:xfrm>
                      <a:off x="0" y="0"/>
                      <a:ext cx="4060825" cy="562165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34</w:t>
      </w:r>
      <w:r>
        <w:fldChar w:fldCharType="end"/>
      </w:r>
      <w:r>
        <w:rPr/>
        <w:t>.</w:t>
      </w:r>
      <w:r>
        <w:rPr>
          <w:b w:val="false"/>
        </w:rPr>
        <w:t xml:space="preserve"> Schematyczna trasa przejazdu pojazdów po terenie zakładu</w:t>
      </w:r>
    </w:p>
    <w:p>
      <w:pPr>
        <w:pStyle w:val="Normal"/>
        <w:rPr/>
      </w:pPr>
      <w:r>
        <w:rPr/>
      </w:r>
    </w:p>
    <w:p>
      <w:pPr>
        <w:pStyle w:val="Normal"/>
        <w:rPr/>
      </w:pPr>
      <w:r>
        <w:rPr/>
        <w:t>W obliczeniach uwzględniono wjazd na teren zakładu i wyjazd z terenu zakładu po wyznaczonej trasie, dlatego podaną wyżej liczbę pojazdów pomnożono przez 2.</w:t>
      </w:r>
    </w:p>
    <w:p>
      <w:pPr>
        <w:pStyle w:val="Normal"/>
        <w:rPr/>
      </w:pPr>
      <w:r>
        <w:rPr/>
        <w:t xml:space="preserve">Wskaźniki emisji przyjęto na podstawie </w:t>
      </w:r>
      <w:r>
        <w:rPr>
          <w:i/>
          <w:iCs/>
        </w:rPr>
        <w:t xml:space="preserve">„Ekspertyzy naukowej </w:t>
      </w:r>
      <w:r>
        <w:rPr/>
        <w:t>–</w:t>
      </w:r>
      <w:r>
        <w:rPr>
          <w:i/>
          <w:iCs/>
        </w:rPr>
        <w:t xml:space="preserve"> opracowanie oprogramowania do wyznaczania wielkości charakteryzujących emisję zanieczyszczeń z silników spalinowych pojazdów samochodowych w celu oceny oddziaływania na środowisko w latach 2010 i 2020”,</w:t>
      </w:r>
      <w:r>
        <w:rPr>
          <w:i/>
        </w:rPr>
        <w:t xml:space="preserve"> przeprowadzonej przez prof. dr hab. inż. Zdzisława Chłopka</w:t>
      </w:r>
      <w:r>
        <w:rPr/>
        <w:t xml:space="preserve">. Wskaźniki emisji podane w wyżej wymienionym opracowaniu zostały oszacowane dla prędkości średniej pojazdów lekkich wynoszącej 60 km/h, a dla pojazdów ciężkich 50 km/h. Z racji, iż prędkość poruszania się samochodów po terenie inwestycji będzie miejscami mniejsza, w celu ukazania maksymalnie niekorzystnej sytuacji do obliczeń przyjęto wskaźniki pochodzące z </w:t>
      </w:r>
      <w:r>
        <w:rPr>
          <w:i/>
          <w:iCs/>
        </w:rPr>
        <w:t xml:space="preserve">Ekspertyzy </w:t>
      </w:r>
      <w:r>
        <w:rPr/>
        <w:t xml:space="preserve">zwiększone o połowę. </w:t>
      </w:r>
    </w:p>
    <w:p>
      <w:pPr>
        <w:pStyle w:val="Normal"/>
        <w:rPr/>
      </w:pPr>
      <w:r>
        <w:rPr/>
        <w:t>Wskaźnik emisji NO</w:t>
      </w:r>
      <w:r>
        <w:rPr>
          <w:sz w:val="28"/>
          <w:szCs w:val="28"/>
          <w:vertAlign w:val="subscript"/>
        </w:rPr>
        <w:t>2</w:t>
      </w:r>
      <w:r>
        <w:rPr/>
        <w:t xml:space="preserve"> oszacowano na podstawie wskaźnika emisji NO</w:t>
      </w:r>
      <w:r>
        <w:rPr>
          <w:sz w:val="28"/>
          <w:szCs w:val="28"/>
          <w:vertAlign w:val="subscript"/>
        </w:rPr>
        <w:t>x</w:t>
      </w:r>
      <w:r>
        <w:rPr/>
        <w:t xml:space="preserve">, zawartego w </w:t>
      </w:r>
      <w:r>
        <w:rPr>
          <w:i/>
          <w:iCs/>
        </w:rPr>
        <w:t xml:space="preserve">Ekspertyzie </w:t>
      </w:r>
      <w:r>
        <w:rPr/>
        <w:t>oraz zapisu: „Stosunek ilościowy NO</w:t>
      </w:r>
      <w:r>
        <w:rPr>
          <w:sz w:val="28"/>
          <w:szCs w:val="28"/>
          <w:vertAlign w:val="subscript"/>
        </w:rPr>
        <w:t>2</w:t>
      </w:r>
      <w:r>
        <w:rPr>
          <w:vertAlign w:val="subscript"/>
        </w:rPr>
        <w:t xml:space="preserve"> </w:t>
      </w:r>
      <w:r>
        <w:rPr/>
        <w:t>i NO w gazach emitowanych z układów wydechowych wynosi od 0,05 do 0,1” – praca zbiorowa pod redakcją dr Jana Borzyszkowskiego „</w:t>
      </w:r>
      <w:r>
        <w:rPr>
          <w:i/>
          <w:iCs/>
        </w:rPr>
        <w:t>Ocena oddziaływania autostrady A2 na zdrowie ludzi”.</w:t>
      </w:r>
      <w:r>
        <w:rPr>
          <w:i/>
        </w:rPr>
        <w:t xml:space="preserve"> </w:t>
      </w:r>
      <w:r>
        <w:rPr/>
        <w:t>W niniejszej dokumentacji przyjęto, że emisja NO</w:t>
      </w:r>
      <w:r>
        <w:rPr>
          <w:sz w:val="28"/>
          <w:szCs w:val="28"/>
          <w:vertAlign w:val="subscript"/>
        </w:rPr>
        <w:t>2</w:t>
      </w:r>
      <w:r>
        <w:rPr/>
        <w:t xml:space="preserve"> stanowi 10% emisji NO</w:t>
      </w:r>
      <w:r>
        <w:rPr>
          <w:sz w:val="28"/>
          <w:szCs w:val="28"/>
          <w:vertAlign w:val="subscript"/>
        </w:rPr>
        <w:t>x</w:t>
      </w:r>
      <w:r>
        <w:rPr/>
        <w:t>. Ponadto założono, że emisja pyłu PM2,5 równa jest co do wartości emisji pyłu PM10. Wykorzystane w obliczeniach wskaźniki emisji przedstawiono w poniższej tabeli.</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32</w:t>
      </w:r>
      <w:r>
        <w:fldChar w:fldCharType="end"/>
      </w:r>
      <w:r>
        <w:rPr/>
        <w:t xml:space="preserve">. </w:t>
      </w:r>
      <w:r>
        <w:rPr>
          <w:b w:val="false"/>
        </w:rPr>
        <w:t>Wskaźniki emisji dla ruchu samochodowego</w:t>
      </w:r>
    </w:p>
    <w:tbl>
      <w:tblPr>
        <w:tblW w:w="9359" w:type="dxa"/>
        <w:jc w:val="left"/>
        <w:tblInd w:w="0" w:type="dxa"/>
        <w:tblBorders>
          <w:top w:val="single" w:sz="2" w:space="0" w:color="000001"/>
          <w:left w:val="single" w:sz="2" w:space="0" w:color="000001"/>
          <w:bottom w:val="single" w:sz="2" w:space="0" w:color="000001"/>
          <w:insideH w:val="single" w:sz="2" w:space="0" w:color="000001"/>
        </w:tblBorders>
        <w:tblCellMar>
          <w:top w:w="0" w:type="dxa"/>
          <w:left w:w="-2" w:type="dxa"/>
          <w:bottom w:w="0" w:type="dxa"/>
          <w:right w:w="0" w:type="dxa"/>
        </w:tblCellMar>
        <w:tblLook w:firstRow="0" w:noVBand="0" w:lastRow="0" w:firstColumn="0" w:lastColumn="0" w:noHBand="0" w:val="0000"/>
      </w:tblPr>
      <w:tblGrid>
        <w:gridCol w:w="2979"/>
        <w:gridCol w:w="3260"/>
        <w:gridCol w:w="3120"/>
      </w:tblGrid>
      <w:tr>
        <w:trPr>
          <w:trHeight w:val="106" w:hRule="atLeast"/>
        </w:trPr>
        <w:tc>
          <w:tcPr>
            <w:tcW w:w="2979" w:type="dxa"/>
            <w:vMerge w:val="restart"/>
            <w:tcBorders>
              <w:top w:val="single" w:sz="2" w:space="0" w:color="000001"/>
              <w:left w:val="single" w:sz="2" w:space="0" w:color="000001"/>
              <w:bottom w:val="single" w:sz="2" w:space="0" w:color="000001"/>
              <w:insideH w:val="single" w:sz="2" w:space="0" w:color="000001"/>
            </w:tcBorders>
            <w:shd w:color="auto" w:fill="D9D9D9" w:themeFill="background1" w:themeFillShade="d9" w:val="clear"/>
            <w:tcMar>
              <w:left w:w="-2" w:type="dxa"/>
            </w:tcMar>
            <w:vAlign w:val="center"/>
          </w:tcPr>
          <w:p>
            <w:pPr>
              <w:pStyle w:val="Domy3flnie"/>
              <w:spacing w:before="40" w:after="40"/>
              <w:jc w:val="center"/>
              <w:rPr>
                <w:rFonts w:ascii="Arial" w:hAnsi="Arial" w:cs="Arial"/>
                <w:color w:val="000000"/>
                <w:sz w:val="18"/>
                <w:szCs w:val="22"/>
              </w:rPr>
            </w:pPr>
            <w:r>
              <w:rPr>
                <w:rFonts w:cs="Arial" w:ascii="Arial" w:hAnsi="Arial"/>
                <w:b/>
                <w:bCs/>
                <w:color w:val="000000"/>
                <w:sz w:val="18"/>
                <w:szCs w:val="22"/>
              </w:rPr>
              <w:t>Zanieczyszczenie</w:t>
            </w:r>
          </w:p>
        </w:tc>
        <w:tc>
          <w:tcPr>
            <w:tcW w:w="63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Wskaźnik emisji [g/km/poj]</w:t>
            </w:r>
          </w:p>
        </w:tc>
      </w:tr>
      <w:tr>
        <w:trPr>
          <w:trHeight w:val="238" w:hRule="atLeast"/>
        </w:trPr>
        <w:tc>
          <w:tcPr>
            <w:tcW w:w="2979" w:type="dxa"/>
            <w:vMerge w:val="continue"/>
            <w:tcBorders>
              <w:top w:val="single" w:sz="2" w:space="0" w:color="000001"/>
              <w:left w:val="single" w:sz="2" w:space="0" w:color="000001"/>
              <w:bottom w:val="single" w:sz="2" w:space="0" w:color="000001"/>
              <w:insideH w:val="single" w:sz="2" w:space="0" w:color="000001"/>
            </w:tcBorders>
            <w:shd w:color="auto" w:fill="D9D9D9" w:themeFill="background1" w:themeFillShade="d9" w:val="clear"/>
            <w:tcMar>
              <w:left w:w="-2" w:type="dxa"/>
            </w:tcMar>
            <w:vAlign w:val="center"/>
          </w:tcPr>
          <w:p>
            <w:pPr>
              <w:pStyle w:val="Domy3flnie"/>
              <w:spacing w:before="40" w:after="40"/>
              <w:rPr>
                <w:rFonts w:ascii="Arial" w:hAnsi="Arial" w:cs="Arial"/>
                <w:color w:val="000000"/>
                <w:sz w:val="18"/>
                <w:szCs w:val="22"/>
              </w:rPr>
            </w:pPr>
            <w:r>
              <w:rPr>
                <w:rFonts w:cs="Arial" w:ascii="Arial" w:hAnsi="Arial"/>
                <w:color w:val="000000"/>
                <w:sz w:val="18"/>
                <w:szCs w:val="22"/>
              </w:rPr>
            </w:r>
          </w:p>
        </w:tc>
        <w:tc>
          <w:tcPr>
            <w:tcW w:w="3260" w:type="dxa"/>
            <w:tcBorders>
              <w:left w:val="single" w:sz="2" w:space="0" w:color="000001"/>
              <w:bottom w:val="single" w:sz="2" w:space="0" w:color="000001"/>
              <w:insideH w:val="single" w:sz="2" w:space="0" w:color="000001"/>
            </w:tcBorders>
            <w:shd w:color="auto" w:fill="D9D9D9" w:themeFill="background1" w:themeFillShade="d9" w:val="clear"/>
            <w:tcMar>
              <w:left w:w="-2"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samochody osobowe</w:t>
              <w:br/>
              <w:t>i dostawcze</w:t>
            </w:r>
            <w:r>
              <w:rPr>
                <w:rFonts w:cs="Arial" w:ascii="Arial" w:hAnsi="Arial"/>
                <w:color w:val="000000"/>
                <w:sz w:val="18"/>
                <w:szCs w:val="22"/>
              </w:rPr>
              <w:t xml:space="preserve"> </w:t>
            </w:r>
            <w:r>
              <w:rPr>
                <w:rFonts w:cs="Arial" w:ascii="Arial" w:hAnsi="Arial"/>
                <w:b/>
                <w:color w:val="000000"/>
                <w:sz w:val="18"/>
                <w:szCs w:val="22"/>
              </w:rPr>
              <w:t>do 3,5 Mg</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samochody ciężarowe</w:t>
            </w:r>
          </w:p>
          <w:p>
            <w:pPr>
              <w:pStyle w:val="Domy3flnie"/>
              <w:spacing w:before="40" w:after="40"/>
              <w:jc w:val="center"/>
              <w:rPr>
                <w:rFonts w:ascii="Arial" w:hAnsi="Arial" w:cs="Arial"/>
                <w:color w:val="000000"/>
                <w:sz w:val="18"/>
                <w:szCs w:val="22"/>
              </w:rPr>
            </w:pPr>
            <w:r>
              <w:rPr>
                <w:rFonts w:cs="Arial" w:ascii="Arial" w:hAnsi="Arial"/>
                <w:b/>
                <w:color w:val="000000"/>
                <w:sz w:val="18"/>
                <w:szCs w:val="22"/>
              </w:rPr>
              <w:t xml:space="preserve"> </w:t>
            </w:r>
            <w:r>
              <w:rPr>
                <w:rFonts w:cs="Arial" w:ascii="Arial" w:hAnsi="Arial"/>
                <w:b/>
                <w:color w:val="000000"/>
                <w:sz w:val="18"/>
                <w:szCs w:val="22"/>
              </w:rPr>
              <w:t>powyżej 3,5 Mg</w:t>
            </w:r>
          </w:p>
        </w:tc>
      </w:tr>
      <w:tr>
        <w:trPr>
          <w:trHeight w:val="106"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PM10</w:t>
            </w:r>
          </w:p>
        </w:tc>
        <w:tc>
          <w:tcPr>
            <w:tcW w:w="3260" w:type="dxa"/>
            <w:tcBorders>
              <w:left w:val="single" w:sz="2" w:space="0" w:color="000001"/>
              <w:bottom w:val="single" w:sz="2" w:space="0" w:color="000001"/>
              <w:insideH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0,0615</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0,2486</w:t>
            </w:r>
          </w:p>
        </w:tc>
      </w:tr>
      <w:tr>
        <w:trPr>
          <w:trHeight w:val="83"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PM2,5</w:t>
            </w:r>
          </w:p>
        </w:tc>
        <w:tc>
          <w:tcPr>
            <w:tcW w:w="3260" w:type="dxa"/>
            <w:tcBorders>
              <w:left w:val="single" w:sz="2" w:space="0" w:color="000001"/>
              <w:bottom w:val="single" w:sz="2" w:space="0" w:color="000001"/>
              <w:insideH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100% PM10</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100% PM10</w:t>
            </w:r>
          </w:p>
        </w:tc>
      </w:tr>
      <w:tr>
        <w:trPr>
          <w:trHeight w:val="86"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Tlenek węgla</w:t>
            </w:r>
          </w:p>
        </w:tc>
        <w:tc>
          <w:tcPr>
            <w:tcW w:w="3260" w:type="dxa"/>
            <w:tcBorders>
              <w:left w:val="single" w:sz="2" w:space="0" w:color="000001"/>
              <w:bottom w:val="single" w:sz="2" w:space="0" w:color="000001"/>
              <w:insideH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0,8025</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0,9135</w:t>
            </w:r>
          </w:p>
        </w:tc>
      </w:tr>
      <w:tr>
        <w:trPr>
          <w:trHeight w:val="77"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azotu</w:t>
            </w:r>
          </w:p>
        </w:tc>
        <w:tc>
          <w:tcPr>
            <w:tcW w:w="3260" w:type="dxa"/>
            <w:tcBorders>
              <w:left w:val="single" w:sz="2" w:space="0" w:color="000001"/>
              <w:bottom w:val="single" w:sz="2" w:space="0" w:color="000001"/>
              <w:insideH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0,0442</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0,3462</w:t>
            </w:r>
          </w:p>
        </w:tc>
      </w:tr>
      <w:tr>
        <w:trPr>
          <w:trHeight w:val="208"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Benzen</w:t>
            </w:r>
          </w:p>
        </w:tc>
        <w:tc>
          <w:tcPr>
            <w:tcW w:w="3260" w:type="dxa"/>
            <w:tcBorders>
              <w:left w:val="single" w:sz="2" w:space="0" w:color="000001"/>
              <w:bottom w:val="single" w:sz="2" w:space="0" w:color="000001"/>
              <w:insideH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0,0024</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0,0185</w:t>
            </w:r>
          </w:p>
        </w:tc>
      </w:tr>
      <w:tr>
        <w:trPr>
          <w:trHeight w:val="199"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Węglowodory alifatyczne</w:t>
            </w:r>
          </w:p>
        </w:tc>
        <w:tc>
          <w:tcPr>
            <w:tcW w:w="3260" w:type="dxa"/>
            <w:tcBorders>
              <w:left w:val="single" w:sz="2" w:space="0" w:color="000001"/>
              <w:bottom w:val="single" w:sz="2" w:space="0" w:color="000001"/>
              <w:insideH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0,0503</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0,7755</w:t>
            </w:r>
          </w:p>
        </w:tc>
      </w:tr>
      <w:tr>
        <w:trPr>
          <w:trHeight w:val="65"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Węglowodory aromatyczne</w:t>
            </w:r>
          </w:p>
        </w:tc>
        <w:tc>
          <w:tcPr>
            <w:tcW w:w="3260" w:type="dxa"/>
            <w:tcBorders>
              <w:left w:val="single" w:sz="2" w:space="0" w:color="000001"/>
              <w:bottom w:val="single" w:sz="2" w:space="0" w:color="000001"/>
              <w:insideH w:val="single" w:sz="2" w:space="0" w:color="000001"/>
            </w:tcBorders>
            <w:shd w:fill="auto" w:val="clear"/>
            <w:tcMar>
              <w:left w:w="-2" w:type="dxa"/>
            </w:tcMar>
            <w:vAlign w:val="center"/>
          </w:tcPr>
          <w:p>
            <w:pPr>
              <w:pStyle w:val="Domy3flnie"/>
              <w:spacing w:before="40" w:after="40"/>
              <w:jc w:val="center"/>
              <w:rPr>
                <w:rFonts w:ascii="Arial" w:hAnsi="Arial" w:cs="Arial"/>
                <w:color w:val="000000"/>
                <w:sz w:val="18"/>
                <w:szCs w:val="22"/>
              </w:rPr>
            </w:pPr>
            <w:r>
              <w:rPr>
                <w:rFonts w:cs="Arial" w:ascii="Arial" w:hAnsi="Arial"/>
                <w:color w:val="000000"/>
                <w:sz w:val="18"/>
                <w:szCs w:val="22"/>
              </w:rPr>
              <w:t>0,0144</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center"/>
          </w:tcPr>
          <w:p>
            <w:pPr>
              <w:pStyle w:val="Domy3flnie"/>
              <w:keepNext/>
              <w:spacing w:before="40" w:after="40"/>
              <w:jc w:val="center"/>
              <w:rPr>
                <w:rFonts w:ascii="Arial" w:hAnsi="Arial" w:cs="Arial"/>
                <w:color w:val="000000"/>
                <w:sz w:val="18"/>
                <w:szCs w:val="22"/>
              </w:rPr>
            </w:pPr>
            <w:r>
              <w:rPr>
                <w:rFonts w:cs="Arial" w:ascii="Arial" w:hAnsi="Arial"/>
                <w:color w:val="000000"/>
                <w:sz w:val="18"/>
                <w:szCs w:val="22"/>
              </w:rPr>
              <w:t>0,1935</w:t>
            </w:r>
          </w:p>
        </w:tc>
      </w:tr>
    </w:tbl>
    <w:p>
      <w:pPr>
        <w:pStyle w:val="Tretekstu"/>
        <w:spacing w:lineRule="auto" w:line="360" w:before="0" w:after="60"/>
        <w:ind w:hanging="0"/>
        <w:jc w:val="left"/>
        <w:rPr>
          <w:b/>
          <w:b/>
          <w:u w:val="single"/>
        </w:rPr>
      </w:pPr>
      <w:r>
        <w:rPr>
          <w:b/>
          <w:u w:val="single"/>
        </w:rPr>
      </w:r>
    </w:p>
    <w:p>
      <w:pPr>
        <w:pStyle w:val="Tretekstu"/>
        <w:spacing w:before="0" w:after="60"/>
        <w:ind w:hanging="0"/>
        <w:jc w:val="left"/>
        <w:rPr>
          <w:b/>
          <w:b/>
          <w:u w:val="single"/>
        </w:rPr>
      </w:pPr>
      <w:r>
        <w:rPr>
          <w:b/>
          <w:u w:val="single"/>
        </w:rPr>
        <w:t>Emisja godzinowa</w:t>
      </w:r>
    </w:p>
    <w:p>
      <w:pPr>
        <w:pStyle w:val="Normal"/>
        <w:rPr/>
      </w:pPr>
      <w:r>
        <w:rPr/>
        <w:t>Maksymalną emisję godzinową zanieczyszczeń z ruchu pojazdów obliczono w następujący sposób:</w:t>
      </w:r>
    </w:p>
    <w:p>
      <w:pPr>
        <w:pStyle w:val="Western"/>
        <w:spacing w:beforeAutospacing="0" w:before="0" w:afterAutospacing="0" w:after="0"/>
        <w:rPr>
          <w:i/>
          <w:i/>
        </w:rPr>
      </w:pPr>
      <w:r>
        <w:rPr>
          <w:i/>
        </w:rPr>
        <w:t>E [kg/h]</w:t>
      </w:r>
      <w:r>
        <w:rPr/>
        <w:t xml:space="preserve"> = </w:t>
      </w:r>
      <w:r>
        <w:rPr>
          <w:i/>
        </w:rPr>
        <w:t xml:space="preserve">długość trasy przejazdu [km] </w:t>
      </w:r>
      <w:r>
        <w:rPr>
          <w:i/>
        </w:rPr>
      </w:r>
      <m:oMath xmlns:m="http://schemas.openxmlformats.org/officeDocument/2006/math"/>
      <w:r>
        <w:rPr>
          <w:i/>
        </w:rPr>
        <w:t xml:space="preserve"> liczba pojazdów [</w:t>
      </w:r>
      <w:r>
        <w:rPr>
          <w:i/>
        </w:rPr>
      </w:r>
      <m:oMath xmlns:m="http://schemas.openxmlformats.org/officeDocument/2006/math">
        <m:f>
          <m:num>
            <m:r>
              <m:rPr>
                <m:lit/>
                <m:nor/>
              </m:rPr>
              <w:rPr>
                <w:rFonts w:ascii="Cambria Math" w:hAnsi="Cambria Math"/>
              </w:rPr>
              <m:t xml:space="preserve">poj</m:t>
            </m:r>
          </m:num>
          <m:den>
            <m:r>
              <w:rPr>
                <w:rFonts w:ascii="Cambria Math" w:hAnsi="Cambria Math"/>
              </w:rPr>
              <m:t xml:space="preserve">h</m:t>
            </m:r>
          </m:den>
        </m:f>
      </m:oMath>
      <w:r>
        <w:rPr>
          <w:i/>
        </w:rPr>
        <w:t>]</w:t>
      </w:r>
      <w:r>
        <w:rPr>
          <w:i/>
        </w:rPr>
      </w:r>
      <m:oMath xmlns:m="http://schemas.openxmlformats.org/officeDocument/2006/math"/>
      <w:r>
        <w:rPr>
          <w:i/>
        </w:rPr>
        <w:t xml:space="preserve"> wskaźnik [</w:t>
      </w:r>
      <w:r>
        <w:rPr>
          <w:i/>
        </w:rPr>
      </w:r>
      <m:oMath xmlns:m="http://schemas.openxmlformats.org/officeDocument/2006/math">
        <m:f>
          <m:num>
            <m:r>
              <w:rPr>
                <w:rFonts w:ascii="Cambria Math" w:hAnsi="Cambria Math"/>
              </w:rPr>
              <m:t xml:space="preserve">g</m:t>
            </m:r>
          </m:num>
          <m:den>
            <m:r>
              <m:rPr>
                <m:lit/>
                <m:nor/>
              </m:rPr>
              <w:rPr>
                <w:rFonts w:ascii="Cambria Math" w:hAnsi="Cambria Math"/>
              </w:rPr>
              <m:t xml:space="preserve">km</m:t>
            </m:r>
            <m:r>
              <w:rPr>
                <w:rFonts w:ascii="Cambria Math" w:hAnsi="Cambria Math"/>
              </w:rPr>
              <m:t xml:space="preserve">×</m:t>
            </m:r>
            <m:r>
              <m:rPr>
                <m:lit/>
                <m:nor/>
              </m:rPr>
              <w:rPr>
                <w:rFonts w:ascii="Cambria Math" w:hAnsi="Cambria Math"/>
              </w:rPr>
              <m:t xml:space="preserve">poj</m:t>
            </m:r>
          </m:den>
        </m:f>
      </m:oMath>
      <w:r>
        <w:rPr>
          <w:i/>
        </w:rPr>
        <w:t>]/ 1000</w:t>
      </w:r>
    </w:p>
    <w:p>
      <w:pPr>
        <w:pStyle w:val="Normal"/>
        <w:rPr/>
      </w:pPr>
      <w:r>
        <w:rPr/>
        <w:t>Emisję godzinową zanieczyszczeń z ruchu pojazdów przedstawiono w poniższej tabeli.</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33</w:t>
      </w:r>
      <w:r>
        <w:fldChar w:fldCharType="end"/>
      </w:r>
      <w:r>
        <w:rPr/>
        <w:t>.</w:t>
      </w:r>
      <w:r>
        <w:rPr>
          <w:b w:val="false"/>
        </w:rPr>
        <w:t xml:space="preserve"> Maksymalna emisja godzinowa zanieczyszczeń z ruchu pojazdów</w:t>
      </w:r>
    </w:p>
    <w:tbl>
      <w:tblPr>
        <w:tblW w:w="93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29" w:type="dxa"/>
          <w:bottom w:w="0" w:type="dxa"/>
          <w:right w:w="30" w:type="dxa"/>
        </w:tblCellMar>
        <w:tblLook w:firstRow="0" w:noVBand="0" w:lastRow="0" w:firstColumn="0" w:lastColumn="0" w:noHBand="0" w:val="0000"/>
      </w:tblPr>
      <w:tblGrid>
        <w:gridCol w:w="3033"/>
        <w:gridCol w:w="3233"/>
        <w:gridCol w:w="3120"/>
      </w:tblGrid>
      <w:tr>
        <w:trPr>
          <w:tblHeader w:val="true"/>
          <w:trHeight w:val="298" w:hRule="atLeast"/>
        </w:trPr>
        <w:tc>
          <w:tcPr>
            <w:tcW w:w="3033"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Zanieczyszczenie</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ruch samochodów osobowych i dostawczych do 3,5 t</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b/>
                <w:sz w:val="18"/>
                <w:szCs w:val="22"/>
              </w:rPr>
              <w:t>ruch samochodów ciężarowych</w:t>
            </w:r>
          </w:p>
        </w:tc>
      </w:tr>
      <w:tr>
        <w:trPr>
          <w:tblHeader w:val="true"/>
          <w:trHeight w:val="65" w:hRule="atLeast"/>
        </w:trPr>
        <w:tc>
          <w:tcPr>
            <w:tcW w:w="3033"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tcPr>
          <w:p>
            <w:pPr>
              <w:pStyle w:val="Normal"/>
              <w:spacing w:before="40" w:after="40"/>
              <w:ind w:hanging="0"/>
              <w:rPr>
                <w:rFonts w:ascii="Arial" w:hAnsi="Arial" w:cs="Arial"/>
                <w:b/>
                <w:b/>
                <w:sz w:val="18"/>
                <w:szCs w:val="22"/>
              </w:rPr>
            </w:pPr>
            <w:r>
              <w:rPr>
                <w:rFonts w:cs="Arial" w:ascii="Arial" w:hAnsi="Arial"/>
                <w:b/>
                <w:sz w:val="18"/>
                <w:szCs w:val="22"/>
              </w:rPr>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O1</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C1</w:t>
            </w:r>
          </w:p>
        </w:tc>
      </w:tr>
      <w:tr>
        <w:trPr>
          <w:trHeight w:val="192"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PM10</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0,000221</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0,000244</w:t>
            </w:r>
          </w:p>
        </w:tc>
      </w:tr>
      <w:tr>
        <w:trPr>
          <w:trHeight w:val="65"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PM2,5</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0,000221</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0,000244</w:t>
            </w:r>
          </w:p>
        </w:tc>
      </w:tr>
      <w:tr>
        <w:trPr>
          <w:trHeight w:val="65"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Tlenek węgla</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0,002885</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0,000896</w:t>
            </w:r>
          </w:p>
        </w:tc>
      </w:tr>
      <w:tr>
        <w:trPr>
          <w:trHeight w:val="65"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azotu</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0,000159</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0,000339</w:t>
            </w:r>
          </w:p>
        </w:tc>
      </w:tr>
      <w:tr>
        <w:trPr>
          <w:trHeight w:val="65"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Benzen</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0,000009</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0,000018</w:t>
            </w:r>
          </w:p>
        </w:tc>
      </w:tr>
      <w:tr>
        <w:trPr>
          <w:trHeight w:val="65"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Węglowodory alifatyczne</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0,000181</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0,000760</w:t>
            </w:r>
          </w:p>
        </w:tc>
      </w:tr>
      <w:tr>
        <w:trPr>
          <w:trHeight w:val="132"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Węglowodory aromatyczne</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0,000052</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0,000190</w:t>
            </w:r>
          </w:p>
        </w:tc>
      </w:tr>
    </w:tbl>
    <w:p>
      <w:pPr>
        <w:pStyle w:val="Normal"/>
        <w:spacing w:lineRule="auto" w:line="360"/>
        <w:rPr>
          <w:b/>
          <w:b/>
          <w:u w:val="single"/>
        </w:rPr>
      </w:pPr>
      <w:r>
        <w:rPr>
          <w:b/>
          <w:u w:val="single"/>
        </w:rPr>
      </w:r>
    </w:p>
    <w:p>
      <w:pPr>
        <w:pStyle w:val="Tretekstu"/>
        <w:spacing w:before="0" w:after="60"/>
        <w:ind w:hanging="0"/>
        <w:jc w:val="left"/>
        <w:rPr>
          <w:b/>
          <w:b/>
          <w:u w:val="single"/>
        </w:rPr>
      </w:pPr>
      <w:r>
        <w:rPr>
          <w:b/>
          <w:u w:val="single"/>
        </w:rPr>
        <w:t>Emisja roczna</w:t>
      </w:r>
    </w:p>
    <w:p>
      <w:pPr>
        <w:pStyle w:val="Normal"/>
        <w:rPr/>
      </w:pPr>
      <w:r>
        <w:rPr/>
        <w:t>Emisję roczną obliczono jako iloczyn emisji godzinowej i czasu pracy w ciągu roku (8 200 h). Emisję roczną zanieczyszczeń z ruchu pojazdów przedstawiono w poniższej tabeli.</w:t>
      </w:r>
    </w:p>
    <w:p>
      <w:pPr>
        <w:pStyle w:val="Tytutabeli"/>
        <w:spacing w:before="120" w:after="120"/>
        <w:rPr/>
      </w:pPr>
      <w:r>
        <w:rPr/>
        <w:t xml:space="preserve">Tabela </w:t>
      </w:r>
      <w:r>
        <w:rPr/>
        <w:fldChar w:fldCharType="begin"/>
      </w:r>
      <w:r>
        <w:instrText> SEQ Tabela \* ARABIC </w:instrText>
      </w:r>
      <w:r>
        <w:fldChar w:fldCharType="separate"/>
      </w:r>
      <w:r>
        <w:t>34</w:t>
      </w:r>
      <w:r>
        <w:fldChar w:fldCharType="end"/>
      </w:r>
      <w:r>
        <w:rPr/>
        <w:t>.</w:t>
      </w:r>
      <w:r>
        <w:rPr>
          <w:b w:val="false"/>
        </w:rPr>
        <w:t xml:space="preserve"> Emisja roczna zanieczyszczeń z ruchu pojazdów</w:t>
      </w:r>
    </w:p>
    <w:tbl>
      <w:tblPr>
        <w:tblW w:w="9669"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29" w:type="dxa"/>
          <w:bottom w:w="0" w:type="dxa"/>
          <w:right w:w="30" w:type="dxa"/>
        </w:tblCellMar>
        <w:tblLook w:firstRow="0" w:noVBand="0" w:lastRow="0" w:firstColumn="0" w:lastColumn="0" w:noHBand="0" w:val="0000"/>
      </w:tblPr>
      <w:tblGrid>
        <w:gridCol w:w="3291"/>
        <w:gridCol w:w="3259"/>
        <w:gridCol w:w="3119"/>
      </w:tblGrid>
      <w:tr>
        <w:trPr>
          <w:trHeight w:val="283" w:hRule="atLeast"/>
        </w:trPr>
        <w:tc>
          <w:tcPr>
            <w:tcW w:w="3291"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Zanieczyszczenie</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ruch samochodów osobowych i dostawczych do 3,5 t</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b/>
                <w:sz w:val="18"/>
                <w:szCs w:val="22"/>
              </w:rPr>
              <w:t>ruch samochodów ciężarowych</w:t>
            </w:r>
          </w:p>
        </w:tc>
      </w:tr>
      <w:tr>
        <w:trPr>
          <w:trHeight w:val="137" w:hRule="atLeast"/>
        </w:trPr>
        <w:tc>
          <w:tcPr>
            <w:tcW w:w="3291"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tcPr>
          <w:p>
            <w:pPr>
              <w:pStyle w:val="Normal"/>
              <w:spacing w:before="40" w:after="40"/>
              <w:ind w:hanging="0"/>
              <w:rPr>
                <w:rFonts w:ascii="Arial" w:hAnsi="Arial" w:cs="Arial"/>
                <w:b/>
                <w:b/>
                <w:sz w:val="18"/>
                <w:szCs w:val="22"/>
              </w:rPr>
            </w:pPr>
            <w:r>
              <w:rPr>
                <w:rFonts w:cs="Arial" w:ascii="Arial" w:hAnsi="Arial"/>
                <w:b/>
                <w:sz w:val="18"/>
                <w:szCs w:val="22"/>
              </w:rPr>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O1</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C1</w:t>
            </w:r>
          </w:p>
        </w:tc>
      </w:tr>
      <w:tr>
        <w:trPr>
          <w:trHeight w:val="65"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PM10</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0,001813</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0,001998</w:t>
            </w:r>
          </w:p>
        </w:tc>
      </w:tr>
      <w:tr>
        <w:trPr>
          <w:trHeight w:val="123"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PM2,5</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0,001813</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0,001998</w:t>
            </w:r>
          </w:p>
        </w:tc>
      </w:tr>
      <w:tr>
        <w:trPr>
          <w:trHeight w:val="106"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Tlenek węgla</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0,023656</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0,007344</w:t>
            </w:r>
          </w:p>
        </w:tc>
      </w:tr>
      <w:tr>
        <w:trPr>
          <w:trHeight w:val="65"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azotu</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0,001302</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0,002783</w:t>
            </w:r>
          </w:p>
        </w:tc>
      </w:tr>
      <w:tr>
        <w:trPr>
          <w:trHeight w:val="100"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Benzen</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0,000071</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0,000148</w:t>
            </w:r>
          </w:p>
        </w:tc>
      </w:tr>
      <w:tr>
        <w:trPr>
          <w:trHeight w:val="77"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Węglowodory alifatyczne</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0,001481</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0,006234</w:t>
            </w:r>
          </w:p>
        </w:tc>
      </w:tr>
      <w:tr>
        <w:trPr>
          <w:trHeight w:val="65"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Węglowodory aromatyczne</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0,000424</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0,001556</w:t>
            </w:r>
          </w:p>
        </w:tc>
      </w:tr>
    </w:tbl>
    <w:p>
      <w:pPr>
        <w:pStyle w:val="Normal"/>
        <w:rPr/>
      </w:pPr>
      <w:r>
        <w:rPr/>
        <w:t xml:space="preserve"> </w:t>
      </w:r>
    </w:p>
    <w:p>
      <w:pPr>
        <w:pStyle w:val="Nagwek4"/>
        <w:numPr>
          <w:ilvl w:val="3"/>
          <w:numId w:val="2"/>
        </w:numPr>
        <w:ind w:hanging="992"/>
        <w:rPr/>
      </w:pPr>
      <w:r>
        <w:rPr/>
        <w:t>Charakterystyka obszaru</w:t>
      </w:r>
    </w:p>
    <w:p>
      <w:pPr>
        <w:pStyle w:val="Nagwek5"/>
        <w:numPr>
          <w:ilvl w:val="4"/>
          <w:numId w:val="2"/>
        </w:numPr>
        <w:ind w:hanging="1077"/>
        <w:rPr/>
      </w:pPr>
      <w:bookmarkStart w:id="109" w:name="_Toc515019379"/>
      <w:r>
        <w:rPr/>
        <w:t xml:space="preserve"> </w:t>
      </w:r>
      <w:bookmarkEnd w:id="109"/>
      <w:r>
        <w:rPr/>
        <w:t>Aktualny stan jakości powietrza</w:t>
      </w:r>
    </w:p>
    <w:p>
      <w:pPr>
        <w:pStyle w:val="Normal"/>
        <w:rPr/>
      </w:pPr>
      <w:r>
        <w:rPr/>
        <w:t>Stan zanieczyszczenia powietrza (tło) określił Wojewódzki Inspektorat Ochrony Środowiska</w:t>
        <w:br/>
        <w:t>w Katowicach, Delegatura w Bielsku-Białej (Załącznik nr 8).</w:t>
      </w:r>
    </w:p>
    <w:p>
      <w:pPr>
        <w:pStyle w:val="Normal"/>
        <w:rPr/>
      </w:pPr>
      <w:r>
        <w:rPr/>
        <w:t>Dla pyłu PM10 i pyłu PM2,5 średnie stężenie w 2016 r. przekraczało dopuszczalny poziom substancji w powietrzu uśredniony dla roku, zapisany w Rozporządzeniu Ministra Środowiska</w:t>
        <w:br/>
        <w:t xml:space="preserve">z dnia 24 sierpnia 2012 r. </w:t>
      </w:r>
      <w:r>
        <w:rPr>
          <w:i/>
          <w:iCs/>
        </w:rPr>
        <w:t>w sprawie poziomów niektórych substancji w powietrzu</w:t>
      </w:r>
      <w:r>
        <w:rPr/>
        <w:t xml:space="preserve"> (</w:t>
      </w:r>
      <w:r>
        <w:rPr>
          <w:bCs/>
        </w:rPr>
        <w:t>Dz.U. z 2012 r., poz. 1031</w:t>
      </w:r>
      <w:r>
        <w:rPr/>
        <w:t>).</w:t>
      </w:r>
    </w:p>
    <w:p>
      <w:pPr>
        <w:pStyle w:val="Normal"/>
        <w:rPr>
          <w:vertAlign w:val="subscript"/>
        </w:rPr>
      </w:pPr>
      <w:r>
        <w:rPr/>
        <w:t xml:space="preserve">Dla pozostałych substancji zanieczyszczających, wymienionych w Rozporządzeniu Ministra Środowiska z dnia 26 stycznia 2010 r. </w:t>
      </w:r>
      <w:r>
        <w:rPr>
          <w:i/>
        </w:rPr>
        <w:t>w sprawie wartości odniesienia dla niektórych substancji</w:t>
        <w:br/>
        <w:t xml:space="preserve"> w powietrzu </w:t>
      </w:r>
      <w:r>
        <w:rPr/>
        <w:t>(Dz. U. Nr 16 z 2010 roku, poz. 87), dla których nie określa się tła zanieczyszczeń, przyjęto tło zgodnie z metodyką, na poziomie 10% wartości odniesienia.</w:t>
      </w:r>
    </w:p>
    <w:p>
      <w:pPr>
        <w:pStyle w:val="Normal"/>
        <w:spacing w:before="0" w:after="120"/>
        <w:rPr/>
      </w:pPr>
      <w:r>
        <w:rPr/>
      </w:r>
    </w:p>
    <w:p>
      <w:pPr>
        <w:pStyle w:val="Nagwek5"/>
        <w:numPr>
          <w:ilvl w:val="4"/>
          <w:numId w:val="2"/>
        </w:numPr>
        <w:ind w:hanging="1077"/>
        <w:rPr/>
      </w:pPr>
      <w:bookmarkStart w:id="110" w:name="_Toc515019380"/>
      <w:r>
        <w:rPr/>
        <w:t xml:space="preserve"> </w:t>
      </w:r>
      <w:bookmarkEnd w:id="110"/>
      <w:r>
        <w:rPr/>
        <w:t>Określenie warunków meteorologicznych</w:t>
      </w:r>
    </w:p>
    <w:p>
      <w:pPr>
        <w:pStyle w:val="Normal"/>
        <w:rPr/>
      </w:pPr>
      <w:r>
        <w:rPr/>
        <w:t xml:space="preserve">Przy obliczaniu stanu zanieczyszczenia powietrza istotne znaczenie mają warunki meteorologiczne. Na wielkość i sposób rozprzestrzeniania się zanieczyszczeń w powietrzu wpływają bezpośrednio temperatura oraz rozkład prędkości wiatrów w danych sytuacjach meteorologicznych. </w:t>
      </w:r>
    </w:p>
    <w:p>
      <w:pPr>
        <w:pStyle w:val="Normal"/>
        <w:rPr/>
      </w:pPr>
      <w:r>
        <w:rPr/>
        <w:t>W niniejszym opracowaniu do obliczeń przyjęto dane ze stacji meteorologicznej w Katowicach. Wysokość pomiarów anemometrycznych na stacji w Katowicach wynosi h</w:t>
      </w:r>
      <w:r>
        <w:rPr>
          <w:vertAlign w:val="subscript"/>
        </w:rPr>
        <w:t>a</w:t>
      </w:r>
      <w:r>
        <w:rPr/>
        <w:t xml:space="preserve"> = 14,0 m. Zestawienie udziałów poszczególnych kierunków wiatru w % przedstawiono w poniższej tabeli.</w:t>
      </w:r>
    </w:p>
    <w:p>
      <w:pPr>
        <w:pStyle w:val="Caption"/>
        <w:keepNext/>
        <w:jc w:val="left"/>
        <w:rPr/>
      </w:pPr>
      <w:r>
        <w:rPr/>
        <w:t xml:space="preserve">Tabela </w:t>
      </w:r>
      <w:r>
        <w:rPr/>
        <w:fldChar w:fldCharType="begin"/>
      </w:r>
      <w:r>
        <w:instrText> SEQ Tabela \* ARABIC </w:instrText>
      </w:r>
      <w:r>
        <w:fldChar w:fldCharType="separate"/>
      </w:r>
      <w:r>
        <w:t>35</w:t>
      </w:r>
      <w:r>
        <w:fldChar w:fldCharType="end"/>
      </w:r>
      <w:r>
        <w:rPr/>
        <w:t>.</w:t>
      </w:r>
      <w:r>
        <w:rPr>
          <w:b w:val="false"/>
          <w:iCs/>
        </w:rPr>
        <w:t xml:space="preserve"> Udział kierunków wiatru [%]</w:t>
      </w:r>
    </w:p>
    <w:tbl>
      <w:tblPr>
        <w:tblW w:w="9546"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0" w:lastRow="1" w:firstColumn="1" w:lastColumn="1" w:noHBand="0" w:val="01e0"/>
      </w:tblPr>
      <w:tblGrid>
        <w:gridCol w:w="699"/>
        <w:gridCol w:w="808"/>
        <w:gridCol w:w="807"/>
        <w:gridCol w:w="808"/>
        <w:gridCol w:w="809"/>
        <w:gridCol w:w="808"/>
        <w:gridCol w:w="809"/>
        <w:gridCol w:w="808"/>
        <w:gridCol w:w="809"/>
        <w:gridCol w:w="815"/>
        <w:gridCol w:w="809"/>
        <w:gridCol w:w="756"/>
      </w:tblGrid>
      <w:tr>
        <w:trPr/>
        <w:tc>
          <w:tcPr>
            <w:tcW w:w="6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NNE</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ENE</w:t>
            </w:r>
          </w:p>
        </w:tc>
        <w:tc>
          <w:tcPr>
            <w:tcW w:w="80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E</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ESE</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SSE</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S</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SSW</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WSW</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W</w:t>
            </w:r>
          </w:p>
        </w:tc>
        <w:tc>
          <w:tcPr>
            <w:tcW w:w="8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WNW</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NNW</w:t>
            </w:r>
          </w:p>
        </w:tc>
        <w:tc>
          <w:tcPr>
            <w:tcW w:w="7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N</w:t>
            </w:r>
          </w:p>
        </w:tc>
      </w:tr>
      <w:tr>
        <w:trPr/>
        <w:tc>
          <w:tcPr>
            <w:tcW w:w="6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5,57</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5,42</w:t>
            </w:r>
          </w:p>
        </w:tc>
        <w:tc>
          <w:tcPr>
            <w:tcW w:w="80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9,19</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7,69</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5,90</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5,43</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11,25</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18,01</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12,61</w:t>
            </w:r>
          </w:p>
        </w:tc>
        <w:tc>
          <w:tcPr>
            <w:tcW w:w="8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8,21</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5,94</w:t>
            </w:r>
          </w:p>
        </w:tc>
        <w:tc>
          <w:tcPr>
            <w:tcW w:w="7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4,78</w:t>
            </w:r>
          </w:p>
        </w:tc>
      </w:tr>
    </w:tbl>
    <w:p>
      <w:pPr>
        <w:pStyle w:val="Normal"/>
        <w:spacing w:lineRule="auto" w:line="360"/>
        <w:rPr/>
      </w:pPr>
      <w:r>
        <w:rPr/>
      </w:r>
    </w:p>
    <w:p>
      <w:pPr>
        <w:pStyle w:val="Normal"/>
        <w:rPr/>
      </w:pPr>
      <w:r>
        <w:rPr/>
        <w:t>Zestawienie częstości poszczególnych prędkości wiatru w % przedstawiono w poniższej tabeli.</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36</w:t>
      </w:r>
      <w:r>
        <w:fldChar w:fldCharType="end"/>
      </w:r>
      <w:r>
        <w:rPr/>
        <w:t>.</w:t>
      </w:r>
      <w:r>
        <w:rPr>
          <w:b w:val="false"/>
          <w:iCs/>
        </w:rPr>
        <w:t xml:space="preserve"> Prędkości wiatru [%]</w:t>
      </w:r>
    </w:p>
    <w:tbl>
      <w:tblPr>
        <w:tblW w:w="9462"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0" w:lastRow="1" w:firstColumn="1" w:lastColumn="1" w:noHBand="0" w:val="01e0"/>
      </w:tblPr>
      <w:tblGrid>
        <w:gridCol w:w="768"/>
        <w:gridCol w:w="872"/>
        <w:gridCol w:w="873"/>
        <w:gridCol w:w="872"/>
        <w:gridCol w:w="868"/>
        <w:gridCol w:w="867"/>
        <w:gridCol w:w="868"/>
        <w:gridCol w:w="868"/>
        <w:gridCol w:w="781"/>
        <w:gridCol w:w="885"/>
        <w:gridCol w:w="938"/>
      </w:tblGrid>
      <w:tr>
        <w:trPr/>
        <w:tc>
          <w:tcPr>
            <w:tcW w:w="7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1 m/s</w:t>
            </w:r>
          </w:p>
        </w:tc>
        <w:tc>
          <w:tcPr>
            <w:tcW w:w="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2 m/s</w:t>
            </w:r>
          </w:p>
        </w:tc>
        <w:tc>
          <w:tcPr>
            <w:tcW w:w="87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3 m/s</w:t>
            </w:r>
          </w:p>
        </w:tc>
        <w:tc>
          <w:tcPr>
            <w:tcW w:w="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4 m/s</w:t>
            </w:r>
          </w:p>
        </w:tc>
        <w:tc>
          <w:tcPr>
            <w:tcW w:w="8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5 m/s</w:t>
            </w:r>
          </w:p>
        </w:tc>
        <w:tc>
          <w:tcPr>
            <w:tcW w:w="8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6 m/s</w:t>
            </w:r>
          </w:p>
        </w:tc>
        <w:tc>
          <w:tcPr>
            <w:tcW w:w="8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7 m/s</w:t>
            </w:r>
          </w:p>
        </w:tc>
        <w:tc>
          <w:tcPr>
            <w:tcW w:w="8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8 m/s</w:t>
            </w:r>
          </w:p>
        </w:tc>
        <w:tc>
          <w:tcPr>
            <w:tcW w:w="7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9 m/s</w:t>
            </w:r>
          </w:p>
        </w:tc>
        <w:tc>
          <w:tcPr>
            <w:tcW w:w="8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10 m/s</w:t>
            </w:r>
          </w:p>
        </w:tc>
        <w:tc>
          <w:tcPr>
            <w:tcW w:w="93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11 m/s</w:t>
            </w:r>
          </w:p>
        </w:tc>
      </w:tr>
      <w:tr>
        <w:trPr/>
        <w:tc>
          <w:tcPr>
            <w:tcW w:w="7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26,87</w:t>
            </w:r>
          </w:p>
        </w:tc>
        <w:tc>
          <w:tcPr>
            <w:tcW w:w="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18,31</w:t>
            </w:r>
          </w:p>
        </w:tc>
        <w:tc>
          <w:tcPr>
            <w:tcW w:w="87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18,70</w:t>
            </w:r>
          </w:p>
        </w:tc>
        <w:tc>
          <w:tcPr>
            <w:tcW w:w="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13,65</w:t>
            </w:r>
          </w:p>
        </w:tc>
        <w:tc>
          <w:tcPr>
            <w:tcW w:w="8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9,54</w:t>
            </w:r>
          </w:p>
        </w:tc>
        <w:tc>
          <w:tcPr>
            <w:tcW w:w="8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5,15</w:t>
            </w:r>
          </w:p>
        </w:tc>
        <w:tc>
          <w:tcPr>
            <w:tcW w:w="8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3,26</w:t>
            </w:r>
          </w:p>
        </w:tc>
        <w:tc>
          <w:tcPr>
            <w:tcW w:w="8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2,54</w:t>
            </w:r>
          </w:p>
        </w:tc>
        <w:tc>
          <w:tcPr>
            <w:tcW w:w="7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1,33</w:t>
            </w:r>
          </w:p>
        </w:tc>
        <w:tc>
          <w:tcPr>
            <w:tcW w:w="8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0,36</w:t>
            </w:r>
          </w:p>
        </w:tc>
        <w:tc>
          <w:tcPr>
            <w:tcW w:w="93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0,29</w:t>
            </w:r>
          </w:p>
        </w:tc>
      </w:tr>
    </w:tbl>
    <w:p>
      <w:pPr>
        <w:pStyle w:val="Normal"/>
        <w:spacing w:lineRule="auto" w:line="360"/>
        <w:rPr/>
      </w:pPr>
      <w:r>
        <w:rPr/>
      </w:r>
    </w:p>
    <w:p>
      <w:pPr>
        <w:pStyle w:val="Normal"/>
        <w:rPr/>
      </w:pPr>
      <w:r>
        <w:rPr/>
        <w:t>Na rozprzestrzenianie się zanieczyszczeń wpływa również temperatura otoczenia. Niższa temperatura powoduje wzrost wyniesienia termodynamicznego gazów.</w:t>
      </w:r>
    </w:p>
    <w:p>
      <w:pPr>
        <w:pStyle w:val="Normal"/>
        <w:rPr/>
      </w:pPr>
      <w:r>
        <w:rPr/>
        <w:t>Średnia temperatura powietrza wynosi 289,9 K.</w:t>
      </w:r>
    </w:p>
    <w:p>
      <w:pPr>
        <w:pStyle w:val="Normal"/>
        <w:spacing w:lineRule="auto" w:line="360"/>
        <w:rPr/>
      </w:pPr>
      <w:r>
        <w:rPr/>
      </w:r>
    </w:p>
    <w:p>
      <w:pPr>
        <w:pStyle w:val="NormalWeb"/>
        <w:keepNext/>
        <w:spacing w:beforeAutospacing="0" w:before="0" w:afterAutospacing="0" w:after="0"/>
        <w:ind w:hanging="0"/>
        <w:jc w:val="center"/>
        <w:rPr>
          <w:color w:val="0000FF"/>
        </w:rPr>
      </w:pPr>
      <w:r>
        <w:rPr/>
        <w:drawing>
          <wp:inline distT="0" distB="0" distL="19050" distR="0">
            <wp:extent cx="2751455" cy="2901950"/>
            <wp:effectExtent l="0" t="0" r="0" b="0"/>
            <wp:docPr id="51" name="Obraz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48" descr=""/>
                    <pic:cNvPicPr>
                      <a:picLocks noChangeAspect="1" noChangeArrowheads="1"/>
                    </pic:cNvPicPr>
                  </pic:nvPicPr>
                  <pic:blipFill>
                    <a:blip r:embed="rId67"/>
                    <a:stretch>
                      <a:fillRect/>
                    </a:stretch>
                  </pic:blipFill>
                  <pic:spPr bwMode="auto">
                    <a:xfrm>
                      <a:off x="0" y="0"/>
                      <a:ext cx="2751455" cy="290195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35</w:t>
      </w:r>
      <w:r>
        <w:fldChar w:fldCharType="end"/>
      </w:r>
      <w:r>
        <w:rPr/>
        <w:t>.</w:t>
      </w:r>
      <w:r>
        <w:rPr>
          <w:b w:val="false"/>
        </w:rPr>
        <w:t xml:space="preserve"> Róża wiatrów dla Katowic</w:t>
      </w:r>
    </w:p>
    <w:p>
      <w:pPr>
        <w:pStyle w:val="Normal"/>
        <w:rPr>
          <w:b/>
          <w:b/>
        </w:rPr>
      </w:pPr>
      <w:r>
        <w:rPr>
          <w:b/>
        </w:rPr>
      </w:r>
    </w:p>
    <w:p>
      <w:pPr>
        <w:pStyle w:val="Nagwek5"/>
        <w:numPr>
          <w:ilvl w:val="4"/>
          <w:numId w:val="2"/>
        </w:numPr>
        <w:ind w:hanging="1077"/>
        <w:rPr/>
      </w:pPr>
      <w:bookmarkStart w:id="111" w:name="_Toc515019381"/>
      <w:r>
        <w:rPr/>
        <w:t xml:space="preserve"> </w:t>
      </w:r>
      <w:bookmarkEnd w:id="111"/>
      <w:r>
        <w:rPr/>
        <w:t>Określenie aerodynamicznej szorstkości terenu</w:t>
      </w:r>
    </w:p>
    <w:p>
      <w:pPr>
        <w:pStyle w:val="Normal"/>
        <w:rPr/>
      </w:pPr>
      <w:r>
        <w:rPr/>
        <w:t>Współczynnik aerodynamicznej szorstkości terenu z0 uwzględnia wpływ terenu</w:t>
        <w:br/>
        <w:t>na intensywność rozpraszania się zanieczyszczeń w atmosferze. Wartości podstawowe ww. współczynników, obowiązujące dla poszczególnych rodzajów pokrycia terenu podano</w:t>
        <w:br/>
        <w:t xml:space="preserve">w Rozporządzeniu Ministra Środowiska z dnia 26 stycznia 2010 r. </w:t>
      </w:r>
      <w:r>
        <w:rPr>
          <w:i/>
        </w:rPr>
        <w:t>w sprawie wartości odniesienia dla niektórych substancji w powietrzu</w:t>
      </w:r>
      <w:r>
        <w:rPr/>
        <w:t xml:space="preserve"> (Dz. U. Nr 16 z 2010 roku, poz. 87).</w:t>
      </w:r>
    </w:p>
    <w:p>
      <w:pPr>
        <w:pStyle w:val="Normal"/>
        <w:rPr/>
      </w:pPr>
      <w:r>
        <w:rPr/>
        <w:t>Przy obliczaniu współczynnika szorstkości terenu z</w:t>
      </w:r>
      <w:r>
        <w:rPr>
          <w:vertAlign w:val="subscript"/>
        </w:rPr>
        <w:t>0</w:t>
      </w:r>
      <w:r>
        <w:rPr/>
        <w:t>, przedmiotowy teren dzieli się</w:t>
        <w:br/>
        <w:t>na 12 sektorów (w zasięgu pięćdziesięciokrotnej wysokości najwyższego emitora)</w:t>
        <w:br/>
        <w:t>i dla każdego z nich określa się średnią wartość współczynnika szorstkości poprzez określenie</w:t>
        <w:br/>
        <w:t>w nim udziałów poszczególnych typów pokrycia terenu. Średnią wartość z</w:t>
      </w:r>
      <w:r>
        <w:rPr>
          <w:vertAlign w:val="subscript"/>
        </w:rPr>
        <w:t>0</w:t>
      </w:r>
      <w:r>
        <w:rPr/>
        <w:t xml:space="preserve"> oblicza się</w:t>
        <w:br/>
        <w:t>wg poniższego wzoru:</w:t>
      </w:r>
    </w:p>
    <w:p>
      <w:pPr>
        <w:pStyle w:val="NormalWeb"/>
        <w:rPr/>
      </w:pPr>
      <w:r>
        <w:rPr/>
        <w:drawing>
          <wp:inline distT="0" distB="0" distL="19050" distR="0">
            <wp:extent cx="1375410" cy="365760"/>
            <wp:effectExtent l="0" t="0" r="0" b="0"/>
            <wp:docPr id="52" name="Obraz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49" descr=""/>
                    <pic:cNvPicPr>
                      <a:picLocks noChangeAspect="1" noChangeArrowheads="1"/>
                    </pic:cNvPicPr>
                  </pic:nvPicPr>
                  <pic:blipFill>
                    <a:blip r:embed="rId68"/>
                    <a:stretch>
                      <a:fillRect/>
                    </a:stretch>
                  </pic:blipFill>
                  <pic:spPr bwMode="auto">
                    <a:xfrm>
                      <a:off x="0" y="0"/>
                      <a:ext cx="1375410" cy="365760"/>
                    </a:xfrm>
                    <a:prstGeom prst="rect">
                      <a:avLst/>
                    </a:prstGeom>
                  </pic:spPr>
                </pic:pic>
              </a:graphicData>
            </a:graphic>
          </wp:inline>
        </w:drawing>
      </w:r>
    </w:p>
    <w:p>
      <w:pPr>
        <w:pStyle w:val="Normal"/>
        <w:rPr/>
      </w:pPr>
      <w:r>
        <w:rPr/>
        <w:t>gdzie:</w:t>
      </w:r>
    </w:p>
    <w:p>
      <w:pPr>
        <w:pStyle w:val="NormalWeb"/>
        <w:spacing w:beforeAutospacing="0" w:before="0" w:afterAutospacing="0" w:after="0"/>
        <w:ind w:left="426" w:hanging="0"/>
        <w:rPr/>
      </w:pPr>
      <w:r>
        <w:rPr>
          <w:i/>
          <w:iCs/>
        </w:rPr>
        <w:t>z</w:t>
      </w:r>
      <w:r>
        <w:rPr>
          <w:i/>
          <w:iCs/>
          <w:vertAlign w:val="subscript"/>
        </w:rPr>
        <w:t>0</w:t>
      </w:r>
      <w:r>
        <w:rPr/>
        <w:t xml:space="preserve"> </w:t>
        <w:tab/>
        <w:t>średnia wartość współczynnika aerodynamicznej szorstkości terenu na obszarze objętym obliczeniami (m);</w:t>
      </w:r>
    </w:p>
    <w:p>
      <w:pPr>
        <w:pStyle w:val="NormalWeb"/>
        <w:spacing w:beforeAutospacing="0" w:before="0" w:afterAutospacing="0" w:after="0"/>
        <w:ind w:left="426" w:hanging="0"/>
        <w:rPr/>
      </w:pPr>
      <w:r>
        <w:rPr>
          <w:i/>
          <w:iCs/>
        </w:rPr>
        <w:t xml:space="preserve">F </w:t>
        <w:tab/>
      </w:r>
      <w:r>
        <w:rPr/>
        <w:t>powierzchnia obszaru objętego obliczeniami (m</w:t>
      </w:r>
      <w:r>
        <w:rPr>
          <w:vertAlign w:val="superscript"/>
        </w:rPr>
        <w:t>2</w:t>
      </w:r>
      <w:r>
        <w:rPr/>
        <w:t>);</w:t>
      </w:r>
    </w:p>
    <w:p>
      <w:pPr>
        <w:pStyle w:val="NormalWeb"/>
        <w:spacing w:beforeAutospacing="0" w:before="0" w:afterAutospacing="0" w:after="0"/>
        <w:ind w:left="426" w:hanging="0"/>
        <w:rPr/>
      </w:pPr>
      <w:r>
        <w:rPr>
          <w:i/>
          <w:iCs/>
        </w:rPr>
        <w:t>C</w:t>
        <w:tab/>
        <w:t xml:space="preserve"> </w:t>
      </w:r>
      <w:r>
        <w:rPr/>
        <w:t>numer obszaru o danym typie pokrycia terenu.</w:t>
      </w:r>
    </w:p>
    <w:p>
      <w:pPr>
        <w:pStyle w:val="NormalWeb"/>
        <w:spacing w:beforeAutospacing="0" w:before="0" w:afterAutospacing="0" w:after="0"/>
        <w:rPr/>
      </w:pPr>
      <w:r>
        <w:rPr/>
      </w:r>
    </w:p>
    <w:p>
      <w:pPr>
        <w:pStyle w:val="NormalWeb"/>
        <w:spacing w:beforeAutospacing="0" w:before="0" w:afterAutospacing="0" w:after="0"/>
        <w:rPr/>
      </w:pPr>
      <w:r>
        <w:rPr/>
        <w:t>Wpływ aerodynamicznego współczynnika szorstkości jest następujący:</w:t>
      </w:r>
    </w:p>
    <w:p>
      <w:pPr>
        <w:pStyle w:val="NormalWeb"/>
        <w:numPr>
          <w:ilvl w:val="0"/>
          <w:numId w:val="71"/>
        </w:numPr>
        <w:spacing w:beforeAutospacing="0" w:before="0" w:afterAutospacing="0" w:after="0"/>
        <w:ind w:left="709" w:hanging="312"/>
        <w:rPr/>
      </w:pPr>
      <w:r>
        <w:rPr/>
        <w:t>wyższa wartość z</w:t>
      </w:r>
      <w:r>
        <w:rPr>
          <w:vertAlign w:val="subscript"/>
        </w:rPr>
        <w:t>0</w:t>
      </w:r>
      <w:r>
        <w:rPr/>
        <w:t xml:space="preserve"> w dalszych odległościach od źródła emisji wpływa jedynie</w:t>
        <w:br/>
        <w:t>na szybkość zanikania stężeń, a więc na zasięg oddziaływania źródła, nie ma jednak istotnego wpływu na wysokość stężeń,</w:t>
      </w:r>
    </w:p>
    <w:p>
      <w:pPr>
        <w:pStyle w:val="NormalWeb"/>
        <w:numPr>
          <w:ilvl w:val="0"/>
          <w:numId w:val="71"/>
        </w:numPr>
        <w:spacing w:beforeAutospacing="0" w:before="0" w:afterAutospacing="0" w:after="0"/>
        <w:ind w:left="709" w:hanging="312"/>
        <w:rPr/>
      </w:pPr>
      <w:r>
        <w:rPr/>
        <w:t>wyższe wartości z</w:t>
      </w:r>
      <w:r>
        <w:rPr>
          <w:vertAlign w:val="subscript"/>
        </w:rPr>
        <w:t>0</w:t>
      </w:r>
      <w:r>
        <w:rPr/>
        <w:t xml:space="preserve"> w bliższych odległościach od źródła emisji decydują przede wszystkim o wysokości stężeń, jak również o odległości ich występowania.</w:t>
      </w:r>
    </w:p>
    <w:p>
      <w:pPr>
        <w:pStyle w:val="NormalWeb"/>
        <w:spacing w:beforeAutospacing="0" w:before="0" w:afterAutospacing="0" w:after="0"/>
        <w:rPr/>
      </w:pPr>
      <w:r>
        <w:rPr/>
        <w:t xml:space="preserve">W zasięgu pięćdziesięciokrotnej wysokości emitora dominuje </w:t>
      </w:r>
      <w:r>
        <w:rPr>
          <w:szCs w:val="20"/>
          <w:lang w:eastAsia="ar-SA"/>
        </w:rPr>
        <w:t xml:space="preserve">zabudowa niska Żywca. Dla </w:t>
      </w:r>
      <w:r>
        <w:rPr/>
        <w:t>dalszej analizy przyjęto z</w:t>
      </w:r>
      <w:r>
        <w:rPr>
          <w:vertAlign w:val="subscript"/>
        </w:rPr>
        <w:t>0</w:t>
      </w:r>
      <w:r>
        <w:rPr/>
        <w:t xml:space="preserve"> = 0,5.</w:t>
      </w:r>
    </w:p>
    <w:p>
      <w:pPr>
        <w:pStyle w:val="NormalWeb"/>
        <w:spacing w:beforeAutospacing="0" w:before="0" w:afterAutospacing="0" w:after="0"/>
        <w:rPr/>
      </w:pPr>
      <w:r>
        <w:rPr/>
        <w:t>W ramach zespołu emitorów rozpatrywanej instalacji, w promieniu 10-krotnej wysokości emitorów występuje zabudowa wymagająca przeprowadzenia obliczeń stężeń zanieczyszczeń</w:t>
        <w:br/>
        <w:t>na jej poziomie. Ponadto brak jest obszarów parków narodowych oraz terenów ochrony uzdrowiskowej. Lokalizację inwestycji przedstawiono na rysunku 1.</w:t>
      </w:r>
    </w:p>
    <w:p>
      <w:pPr>
        <w:pStyle w:val="NormalWeb"/>
        <w:spacing w:beforeAutospacing="0" w:before="0" w:afterAutospacing="0" w:after="0"/>
        <w:rPr/>
      </w:pPr>
      <w:r>
        <w:rPr/>
      </w:r>
    </w:p>
    <w:p>
      <w:pPr>
        <w:pStyle w:val="Nagwek4"/>
        <w:numPr>
          <w:ilvl w:val="3"/>
          <w:numId w:val="2"/>
        </w:numPr>
        <w:ind w:hanging="992"/>
        <w:rPr/>
      </w:pPr>
      <w:bookmarkStart w:id="112" w:name="_Toc515019382"/>
      <w:r>
        <w:rPr/>
        <w:t xml:space="preserve"> </w:t>
      </w:r>
      <w:bookmarkEnd w:id="112"/>
      <w:r>
        <w:rPr/>
        <w:t>Obliczenia rozprzestrzeniania się zanieczyszczeń</w:t>
      </w:r>
    </w:p>
    <w:p>
      <w:pPr>
        <w:pStyle w:val="Nagwek5"/>
        <w:numPr>
          <w:ilvl w:val="4"/>
          <w:numId w:val="2"/>
        </w:numPr>
        <w:ind w:hanging="1077"/>
        <w:rPr/>
      </w:pPr>
      <w:bookmarkStart w:id="113" w:name="_Toc515019383"/>
      <w:r>
        <w:rPr/>
        <w:t xml:space="preserve">  </w:t>
      </w:r>
      <w:bookmarkEnd w:id="113"/>
      <w:r>
        <w:rPr/>
        <w:t>Metodyka</w:t>
      </w:r>
    </w:p>
    <w:p>
      <w:pPr>
        <w:pStyle w:val="NormalWeb"/>
        <w:spacing w:beforeAutospacing="0" w:before="0" w:afterAutospacing="0" w:after="0"/>
        <w:rPr/>
      </w:pPr>
      <w:r>
        <w:rPr/>
        <w:t xml:space="preserve">Obliczenia rozprzestrzeniania zanieczyszczeń zostały wykonane zgodnie z rozporządzeniem Ministra Środowiska z dnia 26 stycznia 2010 r. </w:t>
      </w:r>
      <w:r>
        <w:rPr>
          <w:i/>
        </w:rPr>
        <w:t>w sprawie wartości odniesienia dla niektórych substancji w powietrzu</w:t>
      </w:r>
      <w:r>
        <w:rPr/>
        <w:t xml:space="preserve"> (Dz. U. Nr 16 z 2010 roku, poz. 87).</w:t>
      </w:r>
    </w:p>
    <w:p>
      <w:pPr>
        <w:pStyle w:val="NormalWeb"/>
        <w:spacing w:beforeAutospacing="0" w:before="0" w:afterAutospacing="0" w:after="0"/>
        <w:rPr/>
      </w:pPr>
      <w:r>
        <w:rPr/>
        <w:t>Jeżeli z obliczeń wstępnych wynika, że spełnione są następujące warunki:</w:t>
      </w:r>
    </w:p>
    <w:p>
      <w:pPr>
        <w:pStyle w:val="NormalWeb"/>
        <w:numPr>
          <w:ilvl w:val="0"/>
          <w:numId w:val="72"/>
        </w:numPr>
        <w:spacing w:beforeAutospacing="0" w:before="0" w:afterAutospacing="0" w:after="0"/>
        <w:ind w:left="714" w:hanging="357"/>
        <w:rPr/>
      </w:pPr>
      <w:r>
        <w:rPr/>
        <w:t>dla pojedynczego emitora lub zespołu emitorów, z których został utworzony emitor zastępczy:</w:t>
      </w:r>
    </w:p>
    <w:p>
      <w:pPr>
        <w:pStyle w:val="NormalWeb"/>
        <w:spacing w:beforeAutospacing="0" w:before="120" w:afterAutospacing="0" w:after="120"/>
        <w:rPr>
          <w:i/>
          <w:i/>
        </w:rPr>
      </w:pPr>
      <w:r>
        <w:rPr/>
      </w:r>
      <m:oMath xmlns:m="http://schemas.openxmlformats.org/officeDocument/2006/math">
        <m:sSub>
          <m:e>
            <m:r>
              <w:rPr>
                <w:rFonts w:ascii="Cambria Math" w:hAnsi="Cambria Math"/>
              </w:rPr>
              <m:t xml:space="preserve">S</m:t>
            </m:r>
          </m:e>
          <m:sub>
            <m:r>
              <m:rPr>
                <m:lit/>
                <m:nor/>
              </m:rPr>
              <w:rPr>
                <w:rFonts w:ascii="Cambria Math" w:hAnsi="Cambria Math"/>
              </w:rPr>
              <m:t xml:space="preserve">mm</m:t>
            </m:r>
          </m:sub>
        </m:sSub>
        <m:r>
          <w:rPr>
            <w:rFonts w:ascii="Cambria Math" w:hAnsi="Cambria Math"/>
          </w:rPr>
          <m:t xml:space="preserve">≤</m:t>
        </m:r>
        <m:r>
          <w:rPr>
            <w:rFonts w:ascii="Cambria Math" w:hAnsi="Cambria Math"/>
          </w:rPr>
          <m:t xml:space="preserve">0,1</m:t>
        </m:r>
        <m:r>
          <w:rPr>
            <w:rFonts w:ascii="Cambria Math" w:hAnsi="Cambria Math"/>
          </w:rPr>
          <m:t xml:space="preserve">×</m:t>
        </m:r>
        <m:sSub>
          <m:e>
            <m:r>
              <w:rPr>
                <w:rFonts w:ascii="Cambria Math" w:hAnsi="Cambria Math"/>
              </w:rPr>
              <m:t xml:space="preserve">D</m:t>
            </m:r>
          </m:e>
          <m:sub>
            <m:r>
              <w:rPr>
                <w:rFonts w:ascii="Cambria Math" w:hAnsi="Cambria Math"/>
              </w:rPr>
              <m:t xml:space="preserve">1</m:t>
            </m:r>
          </m:sub>
        </m:sSub>
      </m:oMath>
    </w:p>
    <w:p>
      <w:pPr>
        <w:pStyle w:val="NormalWeb"/>
        <w:numPr>
          <w:ilvl w:val="0"/>
          <w:numId w:val="72"/>
        </w:numPr>
        <w:spacing w:beforeAutospacing="0" w:before="0" w:afterAutospacing="0" w:after="0"/>
        <w:ind w:left="714" w:hanging="357"/>
        <w:rPr/>
      </w:pPr>
      <w:r>
        <w:rPr/>
        <w:t>dla zespołu emitorów:</w:t>
      </w:r>
    </w:p>
    <w:p>
      <w:pPr>
        <w:pStyle w:val="NormalWeb"/>
        <w:spacing w:beforeAutospacing="0" w:before="120" w:afterAutospacing="0" w:after="120"/>
        <w:rPr/>
      </w:pPr>
      <w:r>
        <w:rPr/>
      </w:r>
      <m:oMath xmlns:m="http://schemas.openxmlformats.org/officeDocument/2006/math">
        <m:nary>
          <m:naryPr>
            <m:chr m:val="∑"/>
            <m:supHide m:val="1"/>
          </m:naryPr>
          <m:sub>
            <m:r>
              <w:rPr>
                <w:rFonts w:ascii="Cambria Math" w:hAnsi="Cambria Math"/>
              </w:rPr>
              <m:t xml:space="preserve">e</m:t>
            </m:r>
          </m:sub>
          <m:sup/>
          <m:e>
            <m:sSub>
              <m:e>
                <m:r>
                  <w:rPr>
                    <w:rFonts w:ascii="Cambria Math" w:hAnsi="Cambria Math"/>
                  </w:rPr>
                  <m:t xml:space="preserve">S</m:t>
                </m:r>
              </m:e>
              <m:sub>
                <m:r>
                  <m:rPr>
                    <m:lit/>
                    <m:nor/>
                  </m:rPr>
                  <w:rPr>
                    <w:rFonts w:ascii="Cambria Math" w:hAnsi="Cambria Math"/>
                  </w:rPr>
                  <m:t xml:space="preserve">mm</m:t>
                </m:r>
              </m:sub>
            </m:sSub>
          </m:e>
        </m:nary>
        <m:r>
          <w:rPr>
            <w:rFonts w:ascii="Cambria Math" w:hAnsi="Cambria Math"/>
          </w:rPr>
          <m:t xml:space="preserve">≤</m:t>
        </m:r>
        <m:r>
          <w:rPr>
            <w:rFonts w:ascii="Cambria Math" w:hAnsi="Cambria Math"/>
          </w:rPr>
          <m:t xml:space="preserve">0,1</m:t>
        </m:r>
        <m:r>
          <w:rPr>
            <w:rFonts w:ascii="Cambria Math" w:hAnsi="Cambria Math"/>
          </w:rPr>
          <m:t xml:space="preserve">×</m:t>
        </m:r>
        <m:sSub>
          <m:e>
            <m:r>
              <w:rPr>
                <w:rFonts w:ascii="Cambria Math" w:hAnsi="Cambria Math"/>
              </w:rPr>
              <m:t xml:space="preserve">D</m:t>
            </m:r>
          </m:e>
          <m:sub>
            <m:r>
              <w:rPr>
                <w:rFonts w:ascii="Cambria Math" w:hAnsi="Cambria Math"/>
              </w:rPr>
              <m:t xml:space="preserve">1</m:t>
            </m:r>
          </m:sub>
        </m:sSub>
      </m:oMath>
    </w:p>
    <w:p>
      <w:pPr>
        <w:pStyle w:val="NormalWeb"/>
        <w:numPr>
          <w:ilvl w:val="0"/>
          <w:numId w:val="72"/>
        </w:numPr>
        <w:spacing w:beforeAutospacing="0" w:before="0" w:afterAutospacing="0" w:after="0"/>
        <w:ind w:left="714" w:hanging="357"/>
        <w:rPr/>
      </w:pPr>
      <w:r>
        <w:rPr/>
        <w:t>kryterium opadu pyłu,</w:t>
      </w:r>
    </w:p>
    <w:p>
      <w:pPr>
        <w:pStyle w:val="NormalWeb"/>
        <w:spacing w:beforeAutospacing="0" w:before="0" w:afterAutospacing="0" w:after="0"/>
        <w:rPr/>
      </w:pPr>
      <w:r>
        <w:rPr/>
        <w:t>to na tym kończy się wymagane dla tego zakresu obliczenia.</w:t>
      </w:r>
    </w:p>
    <w:p>
      <w:pPr>
        <w:pStyle w:val="NormalWeb"/>
        <w:spacing w:beforeAutospacing="0" w:before="0" w:afterAutospacing="0" w:after="0"/>
        <w:rPr/>
      </w:pPr>
      <w:r>
        <w:rPr/>
        <w:t>Jeżeli nie jest spełniony warunek określony w lit. c), to należy wykonać obliczenia opadu substancji pyłowych w sieci obliczeniowej, z uwzględnieniem statystyki warunków meteorologicznych w celu sprawdzenia warunku:</w:t>
      </w:r>
    </w:p>
    <w:p>
      <w:pPr>
        <w:pStyle w:val="NormalWeb"/>
        <w:spacing w:beforeAutospacing="0" w:before="120" w:afterAutospacing="0" w:after="120"/>
        <w:rPr/>
      </w:pPr>
      <w:r>
        <w:rPr/>
      </w:r>
      <m:oMath xmlns:m="http://schemas.openxmlformats.org/officeDocument/2006/math">
        <m:sSub>
          <m:e>
            <m:r>
              <w:rPr>
                <w:rFonts w:ascii="Cambria Math" w:hAnsi="Cambria Math"/>
              </w:rPr>
              <m:t xml:space="preserve">O</m:t>
            </m:r>
          </m:e>
          <m:sub>
            <m:r>
              <w:rPr>
                <w:rFonts w:ascii="Cambria Math" w:hAnsi="Cambria Math"/>
              </w:rPr>
              <m:t xml:space="preserve">p</m:t>
            </m:r>
          </m:sub>
        </m:sSub>
        <m:r>
          <w:rPr>
            <w:rFonts w:ascii="Cambria Math" w:hAnsi="Cambria Math"/>
          </w:rPr>
          <m:t xml:space="preserve">≤</m:t>
        </m:r>
        <m:sSub>
          <m:e>
            <m:r>
              <w:rPr>
                <w:rFonts w:ascii="Cambria Math" w:hAnsi="Cambria Math"/>
              </w:rPr>
              <m:t xml:space="preserve">D</m:t>
            </m:r>
          </m:e>
          <m:sub>
            <m:r>
              <w:rPr>
                <w:rFonts w:ascii="Cambria Math" w:hAnsi="Cambria Math"/>
              </w:rPr>
              <m:t xml:space="preserve">p</m:t>
            </m:r>
          </m:sub>
        </m:sSub>
        <m:r>
          <w:rPr>
            <w:rFonts w:ascii="Cambria Math" w:hAnsi="Cambria Math"/>
          </w:rPr>
          <m:t xml:space="preserve">−</m:t>
        </m:r>
        <m:sSub>
          <m:e>
            <m:r>
              <w:rPr>
                <w:rFonts w:ascii="Cambria Math" w:hAnsi="Cambria Math"/>
              </w:rPr>
              <m:t xml:space="preserve">R</m:t>
            </m:r>
          </m:e>
          <m:sub>
            <m:r>
              <w:rPr>
                <w:rFonts w:ascii="Cambria Math" w:hAnsi="Cambria Math"/>
              </w:rPr>
              <m:t xml:space="preserve">p</m:t>
            </m:r>
          </m:sub>
        </m:sSub>
      </m:oMath>
    </w:p>
    <w:p>
      <w:pPr>
        <w:pStyle w:val="NormalWeb"/>
        <w:spacing w:beforeAutospacing="0" w:before="0" w:afterAutospacing="0" w:after="0"/>
        <w:rPr/>
      </w:pPr>
      <w:r>
        <w:rPr/>
        <w:t>Jeżeli nie są spełnione warunki określone w punkcie 3.1 lit. a) i b), to na całym obszarze, sprawdzamy, czy w każdym punkcie na powierzchni terenu został spełniony warunek:</w:t>
      </w:r>
    </w:p>
    <w:p>
      <w:pPr>
        <w:pStyle w:val="NormalWeb"/>
        <w:spacing w:beforeAutospacing="0" w:before="120" w:afterAutospacing="0" w:after="120"/>
        <w:rPr/>
      </w:pPr>
      <w:r>
        <w:rPr/>
      </w:r>
      <m:oMath xmlns:m="http://schemas.openxmlformats.org/officeDocument/2006/math">
        <m:sSub>
          <m:e>
            <m:r>
              <w:rPr>
                <w:rFonts w:ascii="Cambria Math" w:hAnsi="Cambria Math"/>
              </w:rPr>
              <m:t xml:space="preserve">S</m:t>
            </m:r>
          </m:e>
          <m:sub>
            <m:r>
              <m:rPr>
                <m:lit/>
                <m:nor/>
              </m:rPr>
              <w:rPr>
                <w:rFonts w:ascii="Cambria Math" w:hAnsi="Cambria Math"/>
              </w:rPr>
              <m:t xml:space="preserve">mm</m:t>
            </m:r>
          </m:sub>
        </m:sSub>
        <m:r>
          <w:rPr>
            <w:rFonts w:ascii="Cambria Math" w:hAnsi="Cambria Math"/>
          </w:rPr>
          <m:t xml:space="preserve">≤</m:t>
        </m:r>
        <m:sSub>
          <m:e>
            <m:r>
              <w:rPr>
                <w:rFonts w:ascii="Cambria Math" w:hAnsi="Cambria Math"/>
              </w:rPr>
              <m:t xml:space="preserve">D</m:t>
            </m:r>
          </m:e>
          <m:sub>
            <m:r>
              <w:rPr>
                <w:rFonts w:ascii="Cambria Math" w:hAnsi="Cambria Math"/>
              </w:rPr>
              <m:t xml:space="preserve">1</m:t>
            </m:r>
          </m:sub>
        </m:sSub>
      </m:oMath>
    </w:p>
    <w:p>
      <w:pPr>
        <w:pStyle w:val="NormalWeb"/>
        <w:spacing w:beforeAutospacing="0" w:before="0" w:afterAutospacing="0" w:after="0"/>
        <w:rPr/>
      </w:pPr>
      <w:r>
        <w:rPr/>
        <w:t>Jeżeli z powyższych obliczeń wynika, że dla zespołu emitorów spełniony jest warunek:</w:t>
      </w:r>
    </w:p>
    <w:p>
      <w:pPr>
        <w:pStyle w:val="NormalWeb"/>
        <w:spacing w:beforeAutospacing="0" w:before="120" w:afterAutospacing="0" w:after="120"/>
        <w:rPr/>
      </w:pPr>
      <w:r>
        <w:rPr/>
      </w:r>
      <m:oMath xmlns:m="http://schemas.openxmlformats.org/officeDocument/2006/math">
        <m:sSub>
          <m:e>
            <m:r>
              <w:rPr>
                <w:rFonts w:ascii="Cambria Math" w:hAnsi="Cambria Math"/>
              </w:rPr>
              <m:t xml:space="preserve">S</m:t>
            </m:r>
          </m:e>
          <m:sub>
            <m:r>
              <m:rPr>
                <m:lit/>
                <m:nor/>
              </m:rPr>
              <w:rPr>
                <w:rFonts w:ascii="Cambria Math" w:hAnsi="Cambria Math"/>
              </w:rPr>
              <m:t xml:space="preserve">mm</m:t>
            </m:r>
          </m:sub>
        </m:sSub>
        <m:r>
          <w:rPr>
            <w:rFonts w:ascii="Cambria Math" w:hAnsi="Cambria Math"/>
          </w:rPr>
          <m:t xml:space="preserve">≤</m:t>
        </m:r>
        <m:r>
          <w:rPr>
            <w:rFonts w:ascii="Cambria Math" w:hAnsi="Cambria Math"/>
          </w:rPr>
          <m:t xml:space="preserve">0,1</m:t>
        </m:r>
        <m:r>
          <w:rPr>
            <w:rFonts w:ascii="Cambria Math" w:hAnsi="Cambria Math"/>
          </w:rPr>
          <m:t xml:space="preserve">×</m:t>
        </m:r>
        <m:sSub>
          <m:e>
            <m:r>
              <w:rPr>
                <w:rFonts w:ascii="Cambria Math" w:hAnsi="Cambria Math"/>
              </w:rPr>
              <m:t xml:space="preserve">D</m:t>
            </m:r>
          </m:e>
          <m:sub>
            <m:r>
              <w:rPr>
                <w:rFonts w:ascii="Cambria Math" w:hAnsi="Cambria Math"/>
              </w:rPr>
              <m:t xml:space="preserve">1</m:t>
            </m:r>
          </m:sub>
        </m:sSub>
      </m:oMath>
    </w:p>
    <w:p>
      <w:pPr>
        <w:pStyle w:val="NormalWeb"/>
        <w:spacing w:beforeAutospacing="0" w:before="0" w:afterAutospacing="0" w:after="0"/>
        <w:rPr/>
      </w:pPr>
      <w:r>
        <w:rPr/>
        <w:t>to na tym kończy się obliczenia.</w:t>
      </w:r>
    </w:p>
    <w:p>
      <w:pPr>
        <w:pStyle w:val="NormalWeb"/>
        <w:spacing w:beforeAutospacing="0" w:before="0" w:afterAutospacing="0" w:after="0"/>
        <w:rPr/>
      </w:pPr>
      <w:r>
        <w:rPr/>
        <w:t>Jeżeli nie jest spełniony warunek określony powyższym wzorem, należy sprawdzić warunek:</w:t>
      </w:r>
    </w:p>
    <w:p>
      <w:pPr>
        <w:pStyle w:val="NormalWeb"/>
        <w:spacing w:beforeAutospacing="0" w:before="120" w:afterAutospacing="0" w:after="120"/>
        <w:rPr/>
      </w:pPr>
      <w:r>
        <w:rPr/>
      </w:r>
      <m:oMath xmlns:m="http://schemas.openxmlformats.org/officeDocument/2006/math">
        <m:sSub>
          <m:e>
            <m:r>
              <w:rPr>
                <w:rFonts w:ascii="Cambria Math" w:hAnsi="Cambria Math"/>
              </w:rPr>
              <m:t xml:space="preserve">S</m:t>
            </m:r>
          </m:e>
          <m:sub>
            <m:r>
              <w:rPr>
                <w:rFonts w:ascii="Cambria Math" w:hAnsi="Cambria Math"/>
              </w:rPr>
              <m:t xml:space="preserve">a</m:t>
            </m:r>
          </m:sub>
        </m:sSub>
        <m:r>
          <w:rPr>
            <w:rFonts w:ascii="Cambria Math" w:hAnsi="Cambria Math"/>
          </w:rPr>
          <m:t xml:space="preserve">≤</m:t>
        </m:r>
        <m:sSub>
          <m:e>
            <m:r>
              <w:rPr>
                <w:rFonts w:ascii="Cambria Math" w:hAnsi="Cambria Math"/>
              </w:rPr>
              <m:t xml:space="preserve">D</m:t>
            </m:r>
          </m:e>
          <m:sub>
            <m:r>
              <w:rPr>
                <w:rFonts w:ascii="Cambria Math" w:hAnsi="Cambria Math"/>
              </w:rPr>
              <m:t xml:space="preserve">a</m:t>
            </m:r>
          </m:sub>
        </m:sSub>
        <m:r>
          <w:rPr>
            <w:rFonts w:ascii="Cambria Math" w:hAnsi="Cambria Math"/>
          </w:rPr>
          <m:t xml:space="preserve">−</m:t>
        </m:r>
        <m:r>
          <w:rPr>
            <w:rFonts w:ascii="Cambria Math" w:hAnsi="Cambria Math"/>
          </w:rPr>
          <m:t xml:space="preserve">R</m:t>
        </m:r>
      </m:oMath>
    </w:p>
    <w:p>
      <w:pPr>
        <w:pStyle w:val="NormalWeb"/>
        <w:spacing w:beforeAutospacing="0" w:before="0" w:afterAutospacing="0" w:after="0"/>
        <w:rPr/>
      </w:pPr>
      <w:r>
        <w:rPr/>
        <w:t>Dalsze obliczenia nie są wymagane, jeżeli jest spełniony warunek określony w punkcie 3.1 lit. c), a w pobliżu emitorów nie znajdują się budynki wyższe niż parterowe.</w:t>
      </w:r>
    </w:p>
    <w:p>
      <w:pPr>
        <w:pStyle w:val="NormalWeb"/>
        <w:spacing w:beforeAutospacing="0" w:before="0" w:afterAutospacing="0" w:after="0"/>
        <w:rPr/>
      </w:pPr>
      <w:r>
        <w:rPr/>
        <w:t>Jeżeli jednak nie jest spełniony warunek określony w punkcie 3.1 lit. c), to należy wykonać obliczenia opadu substancji pyłowych w celu sprawdzenia warunku:</w:t>
      </w:r>
    </w:p>
    <w:p>
      <w:pPr>
        <w:pStyle w:val="NormalWeb"/>
        <w:spacing w:beforeAutospacing="0" w:before="120" w:afterAutospacing="0" w:after="120"/>
        <w:rPr/>
      </w:pPr>
      <w:r>
        <w:rPr/>
      </w:r>
      <m:oMath xmlns:m="http://schemas.openxmlformats.org/officeDocument/2006/math">
        <m:sSub>
          <m:e>
            <m:r>
              <w:rPr>
                <w:rFonts w:ascii="Cambria Math" w:hAnsi="Cambria Math"/>
              </w:rPr>
              <m:t xml:space="preserve">O</m:t>
            </m:r>
          </m:e>
          <m:sub>
            <m:r>
              <w:rPr>
                <w:rFonts w:ascii="Cambria Math" w:hAnsi="Cambria Math"/>
              </w:rPr>
              <m:t xml:space="preserve">p</m:t>
            </m:r>
          </m:sub>
        </m:sSub>
        <m:r>
          <w:rPr>
            <w:rFonts w:ascii="Cambria Math" w:hAnsi="Cambria Math"/>
          </w:rPr>
          <m:t xml:space="preserve">≤</m:t>
        </m:r>
        <m:sSub>
          <m:e>
            <m:r>
              <w:rPr>
                <w:rFonts w:ascii="Cambria Math" w:hAnsi="Cambria Math"/>
              </w:rPr>
              <m:t xml:space="preserve">D</m:t>
            </m:r>
          </m:e>
          <m:sub>
            <m:r>
              <w:rPr>
                <w:rFonts w:ascii="Cambria Math" w:hAnsi="Cambria Math"/>
              </w:rPr>
              <m:t xml:space="preserve">p</m:t>
            </m:r>
          </m:sub>
        </m:sSub>
        <m:r>
          <w:rPr>
            <w:rFonts w:ascii="Cambria Math" w:hAnsi="Cambria Math"/>
          </w:rPr>
          <m:t xml:space="preserve">−</m:t>
        </m:r>
        <m:sSub>
          <m:e>
            <m:r>
              <w:rPr>
                <w:rFonts w:ascii="Cambria Math" w:hAnsi="Cambria Math"/>
              </w:rPr>
              <m:t xml:space="preserve">R</m:t>
            </m:r>
          </m:e>
          <m:sub>
            <m:r>
              <w:rPr>
                <w:rFonts w:ascii="Cambria Math" w:hAnsi="Cambria Math"/>
              </w:rPr>
              <m:t xml:space="preserve">p</m:t>
            </m:r>
          </m:sub>
        </m:sSub>
      </m:oMath>
    </w:p>
    <w:p>
      <w:pPr>
        <w:pStyle w:val="NormalWeb"/>
        <w:spacing w:beforeAutospacing="0" w:before="0" w:afterAutospacing="0" w:after="0"/>
        <w:rPr/>
      </w:pPr>
      <w:r>
        <w:rPr/>
        <w:t>Jeżeli w odległości od pojedynczego emitora lub któregoś z emitorów w zespole, mniejszej niż 10h, znajdują się wyższe niż parterowe budynki mieszkalne lub biurowe, a także budynki żłobków, przedszkoli, szkół, szpitali lub sanatoriów, to należy sprawdzić, czy budynki te nie są narażone na przekroczenia wartości odniesienia substancji w powietrzu lub dopuszczalnych poziomów substancji w powietrzu. W tym celu należy obliczyć maksymalne stężenia substancji w powietrzu dla odpowiednich wysokości.</w:t>
      </w:r>
    </w:p>
    <w:p>
      <w:pPr>
        <w:pStyle w:val="NormalWeb"/>
        <w:spacing w:beforeAutospacing="0" w:before="0" w:afterAutospacing="0" w:after="0"/>
        <w:rPr/>
      </w:pPr>
      <w:r>
        <w:rPr/>
        <w:t>Rozróżnia się następujące przypadki:</w:t>
      </w:r>
    </w:p>
    <w:p>
      <w:pPr>
        <w:pStyle w:val="NormalWeb"/>
        <w:numPr>
          <w:ilvl w:val="0"/>
          <w:numId w:val="73"/>
        </w:numPr>
        <w:spacing w:beforeAutospacing="0" w:before="0" w:afterAutospacing="0" w:after="0"/>
        <w:rPr/>
      </w:pPr>
      <w:r>
        <w:rPr/>
        <w:t>gdy geometryczna wysokość najniższego emitora w zespole jest nie mniejsza niż wysokość ostatniej kondygnacji budynku Z, obliczenia stężeń wykonuje się dla wysokości Z,</w:t>
      </w:r>
    </w:p>
    <w:p>
      <w:pPr>
        <w:pStyle w:val="NormalWeb"/>
        <w:numPr>
          <w:ilvl w:val="0"/>
          <w:numId w:val="73"/>
        </w:numPr>
        <w:spacing w:beforeAutospacing="0" w:before="0" w:afterAutospacing="0" w:after="0"/>
        <w:ind w:left="714" w:hanging="357"/>
        <w:rPr/>
      </w:pPr>
      <w:r>
        <w:rPr/>
        <w:t>gdy geometryczna wysokość najniższego emitora w zespole jest mniejsza niż wysokość ostatniej kondygnacji budynku Z, obliczenia stężeń wykonuje się dla wysokości zmieniających się co 1 m, począwszy od geometrycznej wysokości najniższego emitora do wysokości:</w:t>
      </w:r>
    </w:p>
    <w:tbl>
      <w:tblPr>
        <w:tblW w:w="4678" w:type="dxa"/>
        <w:jc w:val="left"/>
        <w:tblInd w:w="109" w:type="dxa"/>
        <w:tblBorders/>
        <w:tblCellMar>
          <w:top w:w="0" w:type="dxa"/>
          <w:left w:w="108" w:type="dxa"/>
          <w:bottom w:w="0" w:type="dxa"/>
          <w:right w:w="108" w:type="dxa"/>
        </w:tblCellMar>
        <w:tblLook w:firstRow="1" w:noVBand="0" w:lastRow="1" w:firstColumn="1" w:lastColumn="1" w:noHBand="0" w:val="01e0"/>
      </w:tblPr>
      <w:tblGrid>
        <w:gridCol w:w="2339"/>
        <w:gridCol w:w="2338"/>
      </w:tblGrid>
      <w:tr>
        <w:trPr>
          <w:trHeight w:val="307" w:hRule="atLeast"/>
        </w:trPr>
        <w:tc>
          <w:tcPr>
            <w:tcW w:w="2339" w:type="dxa"/>
            <w:tcBorders/>
            <w:shd w:color="auto" w:fill="auto" w:val="clear"/>
          </w:tcPr>
          <w:p>
            <w:pPr>
              <w:pStyle w:val="NormalWeb"/>
              <w:spacing w:beforeAutospacing="0" w:before="0" w:afterAutospacing="0" w:after="0"/>
              <w:rPr/>
            </w:pPr>
            <w:r>
              <w:rPr/>
              <w:t>Z, jeżeli</w:t>
            </w:r>
          </w:p>
        </w:tc>
        <w:tc>
          <w:tcPr>
            <w:tcW w:w="2338" w:type="dxa"/>
            <w:tcBorders/>
            <w:shd w:color="auto" w:fill="auto" w:val="clear"/>
          </w:tcPr>
          <w:p>
            <w:pPr>
              <w:pStyle w:val="NormalWeb"/>
              <w:spacing w:beforeAutospacing="0" w:before="0" w:afterAutospacing="0" w:after="0"/>
              <w:ind w:left="397" w:firstLine="397"/>
              <w:rPr/>
            </w:pPr>
            <w:r>
              <w:rPr/>
            </w:r>
            <m:oMath xmlns:m="http://schemas.openxmlformats.org/officeDocument/2006/math">
              <m:sSub>
                <m:e>
                  <m:r>
                    <w:rPr>
                      <w:rFonts w:ascii="Cambria Math" w:hAnsi="Cambria Math"/>
                    </w:rPr>
                    <m:t xml:space="preserve">H</m:t>
                  </m:r>
                </m:e>
                <m:sub>
                  <m:r>
                    <m:rPr>
                      <m:lit/>
                      <m:nor/>
                    </m:rPr>
                    <w:rPr>
                      <w:rFonts w:ascii="Cambria Math" w:hAnsi="Cambria Math"/>
                    </w:rPr>
                    <m:t xml:space="preserve">max</m:t>
                  </m:r>
                </m:sub>
              </m:sSub>
              <m:r>
                <w:rPr>
                  <w:rFonts w:ascii="Cambria Math" w:hAnsi="Cambria Math"/>
                </w:rPr>
                <m:t xml:space="preserve">≥</m:t>
              </m:r>
              <m:r>
                <w:rPr>
                  <w:rFonts w:ascii="Cambria Math" w:hAnsi="Cambria Math"/>
                </w:rPr>
                <m:t xml:space="preserve">Z</m:t>
              </m:r>
            </m:oMath>
          </w:p>
        </w:tc>
      </w:tr>
      <w:tr>
        <w:trPr/>
        <w:tc>
          <w:tcPr>
            <w:tcW w:w="2339" w:type="dxa"/>
            <w:tcBorders/>
            <w:shd w:color="auto" w:fill="auto" w:val="clear"/>
          </w:tcPr>
          <w:p>
            <w:pPr>
              <w:pStyle w:val="NormalWeb"/>
              <w:spacing w:beforeAutospacing="0" w:before="0" w:afterAutospacing="0" w:after="0"/>
              <w:rPr/>
            </w:pPr>
            <w:r>
              <w:rPr/>
              <w:t>H</w:t>
            </w:r>
            <w:r>
              <w:rPr>
                <w:vertAlign w:val="subscript"/>
              </w:rPr>
              <w:t>max</w:t>
            </w:r>
            <w:r>
              <w:rPr/>
              <w:t>, jeżeli</w:t>
            </w:r>
          </w:p>
        </w:tc>
        <w:tc>
          <w:tcPr>
            <w:tcW w:w="2338" w:type="dxa"/>
            <w:tcBorders/>
            <w:shd w:color="auto" w:fill="auto" w:val="clear"/>
          </w:tcPr>
          <w:p>
            <w:pPr>
              <w:pStyle w:val="NormalWeb"/>
              <w:spacing w:beforeAutospacing="0" w:before="0" w:afterAutospacing="0" w:after="0"/>
              <w:ind w:left="397" w:firstLine="397"/>
              <w:rPr/>
            </w:pPr>
            <w:r>
              <w:rPr/>
            </w:r>
            <m:oMath xmlns:m="http://schemas.openxmlformats.org/officeDocument/2006/math">
              <m:eqArr>
                <m:e>
                  <m:r>
                    <m:t xml:space="preserve"> </m:t>
                  </m:r>
                  <m:r>
                    <w:rPr>
                      <w:rFonts w:ascii="Cambria Math" w:hAnsi="Cambria Math"/>
                    </w:rPr>
                    <m:t xml:space="preserve">Z</m:t>
                  </m:r>
                </m:e>
                <m:e/>
                <m:e>
                  <m:sSub>
                    <m:e>
                      <m:r>
                        <w:rPr>
                          <w:rFonts w:ascii="Cambria Math" w:hAnsi="Cambria Math"/>
                        </w:rPr>
                        <m:t xml:space="preserve">H</m:t>
                      </m:r>
                    </m:e>
                    <m:sub>
                      <m:r>
                        <m:rPr>
                          <m:lit/>
                          <m:nor/>
                        </m:rPr>
                        <w:rPr>
                          <w:rFonts w:ascii="Cambria Math" w:hAnsi="Cambria Math"/>
                        </w:rPr>
                        <m:t xml:space="preserve">max</m:t>
                      </m:r>
                    </m:sub>
                  </m:sSub>
                </m:e>
                <m:e/>
              </m:eqArr>
            </m:oMath>
          </w:p>
        </w:tc>
      </w:tr>
    </w:tbl>
    <w:p>
      <w:pPr>
        <w:pStyle w:val="NormalWeb"/>
        <w:spacing w:beforeAutospacing="0" w:before="0" w:afterAutospacing="0" w:after="0"/>
        <w:rPr/>
      </w:pPr>
      <w:r>
        <w:rPr/>
        <w:t>H</w:t>
      </w:r>
      <w:r>
        <w:rPr>
          <w:vertAlign w:val="subscript"/>
        </w:rPr>
        <w:t>max</w:t>
      </w:r>
      <w:r>
        <w:rPr/>
        <w:t xml:space="preserve"> oznacza najwyższą efektywną wysokość emitora w zespole z obliczonych dla wszystkich sytuacji meteorologicznych.</w:t>
      </w:r>
    </w:p>
    <w:p>
      <w:pPr>
        <w:pStyle w:val="Normal"/>
        <w:rPr/>
      </w:pPr>
      <w:r>
        <w:rPr/>
        <w:t>Wszystkie wartości stężeń obliczone ze względu na budynki znajdujące się w pobliżu emitorów nie mogą przekraczać wartości D</w:t>
      </w:r>
      <w:r>
        <w:rPr>
          <w:vertAlign w:val="subscript"/>
        </w:rPr>
        <w:t>1</w:t>
      </w:r>
      <w:r>
        <w:rPr/>
        <w:t>.</w:t>
      </w:r>
    </w:p>
    <w:p>
      <w:pPr>
        <w:pStyle w:val="Normal"/>
        <w:rPr/>
      </w:pPr>
      <w:r>
        <w:rPr/>
        <w:t>Częstość przekraczania wartości odniesienia lub dopuszczalnego poziomu substancji w powietrzu należy obliczyć, jeżeli wartości stężeń obliczone ze względu na budynki znajdujące się w pobliżu emitorów przekraczają wartość D</w:t>
      </w:r>
      <w:r>
        <w:rPr>
          <w:vertAlign w:val="subscript"/>
        </w:rPr>
        <w:t>1</w:t>
      </w:r>
      <w:r>
        <w:rPr/>
        <w:t xml:space="preserve"> lub nie jest spełniony warunek </w:t>
      </w:r>
      <w:r>
        <w:rPr/>
      </w:r>
      <m:oMath xmlns:m="http://schemas.openxmlformats.org/officeDocument/2006/math">
        <m:sSub>
          <m:e>
            <m:r>
              <w:rPr>
                <w:rFonts w:ascii="Cambria Math" w:hAnsi="Cambria Math"/>
              </w:rPr>
              <m:t xml:space="preserve">S</m:t>
            </m:r>
          </m:e>
          <m:sub>
            <m:r>
              <m:rPr>
                <m:lit/>
                <m:nor/>
              </m:rPr>
              <w:rPr>
                <w:rFonts w:ascii="Cambria Math" w:hAnsi="Cambria Math"/>
              </w:rPr>
              <m:t xml:space="preserve">mm</m:t>
            </m:r>
          </m:sub>
        </m:sSub>
        <m:r>
          <w:rPr>
            <w:rFonts w:ascii="Cambria Math" w:hAnsi="Cambria Math"/>
          </w:rPr>
          <m:t xml:space="preserve">≤</m:t>
        </m:r>
        <m:sSub>
          <m:e>
            <m:r>
              <w:rPr>
                <w:rFonts w:ascii="Cambria Math" w:hAnsi="Cambria Math"/>
              </w:rPr>
              <m:t xml:space="preserve">D</m:t>
            </m:r>
          </m:e>
          <m:sub>
            <m:r>
              <w:rPr>
                <w:rFonts w:ascii="Cambria Math" w:hAnsi="Cambria Math"/>
              </w:rPr>
              <m:t xml:space="preserve">1</m:t>
            </m:r>
          </m:sub>
        </m:sSub>
      </m:oMath>
    </w:p>
    <w:p>
      <w:pPr>
        <w:pStyle w:val="Normal"/>
        <w:rPr/>
      </w:pPr>
      <w:r>
        <w:rPr/>
        <w:t>Wartości odniesienia substancji w powietrzu lub dopuszczalne poziomy substancji w powietrzu uważa się za dotrzymane, jeżeli częstość przekraczania wartości D</w:t>
      </w:r>
      <w:r>
        <w:rPr>
          <w:vertAlign w:val="subscript"/>
        </w:rPr>
        <w:t>1</w:t>
      </w:r>
      <w:r>
        <w:rPr/>
        <w:t xml:space="preserve"> przez stężenie uśrednione dla 1 godziny jest nie większa niż 0,274% czasu w roku w przypadku dwutlenku siarki, a 0,2% czasu w roku dla pozostałych substancji.</w:t>
      </w:r>
    </w:p>
    <w:p>
      <w:pPr>
        <w:pStyle w:val="Normal"/>
        <w:rPr/>
      </w:pPr>
      <w:r>
        <w:rPr/>
      </w:r>
    </w:p>
    <w:p>
      <w:pPr>
        <w:pStyle w:val="Nagwek5"/>
        <w:numPr>
          <w:ilvl w:val="4"/>
          <w:numId w:val="2"/>
        </w:numPr>
        <w:ind w:hanging="1077"/>
        <w:rPr/>
      </w:pPr>
      <w:bookmarkStart w:id="114" w:name="_Toc515019384"/>
      <w:r>
        <w:rPr/>
        <w:t xml:space="preserve"> </w:t>
      </w:r>
      <w:bookmarkEnd w:id="114"/>
      <w:r>
        <w:rPr/>
        <w:t>Wyniki obliczeń</w:t>
      </w:r>
    </w:p>
    <w:p>
      <w:pPr>
        <w:pStyle w:val="Normal"/>
        <w:rPr/>
      </w:pPr>
      <w:r>
        <w:rPr/>
        <w:t xml:space="preserve">Porównanie wyników obliczeń z wartościami dopuszczalnymi wykonano na podstawie Rozporządzenia Ministra Środowiska z dnia 26 stycznia 2010 r. </w:t>
      </w:r>
      <w:r>
        <w:rPr>
          <w:i/>
          <w:iCs/>
        </w:rPr>
        <w:t>w sprawie wartości odniesienia dla niektórych substancji w powietrzu</w:t>
      </w:r>
      <w:r>
        <w:rPr/>
        <w:t xml:space="preserve"> (Dz. U. Nr 16 z 2010 roku, poz. 87). Wydruki z programu OPERAT zamieszczono w Załączniku nr 12.</w:t>
      </w:r>
    </w:p>
    <w:p>
      <w:pPr>
        <w:pStyle w:val="Normal"/>
        <w:rPr/>
      </w:pPr>
      <w:r>
        <w:rPr/>
        <w:t>W poniższej tabeli przedstawiono porównanie stężeń maksymalnych jednogodzinnych zanieczyszczeń z wartościami odniesienia uśrednionymi dla jednej godziny.</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37</w:t>
      </w:r>
      <w:r>
        <w:fldChar w:fldCharType="end"/>
      </w:r>
      <w:r>
        <w:rPr/>
        <w:t xml:space="preserve">. </w:t>
      </w:r>
      <w:r>
        <w:rPr>
          <w:b w:val="false"/>
        </w:rPr>
        <w:t>Porównanie maksymalnych wartości stężeń S</w:t>
      </w:r>
      <w:r>
        <w:rPr>
          <w:b w:val="false"/>
          <w:vertAlign w:val="subscript"/>
        </w:rPr>
        <w:t xml:space="preserve">mm </w:t>
      </w:r>
      <w:r>
        <w:rPr>
          <w:b w:val="false"/>
        </w:rPr>
        <w:t>z dopuszczalnymi D</w:t>
      </w:r>
      <w:r>
        <w:rPr>
          <w:b w:val="false"/>
          <w:vertAlign w:val="subscript"/>
        </w:rPr>
        <w:t>1</w:t>
      </w:r>
    </w:p>
    <w:tbl>
      <w:tblPr>
        <w:tblW w:w="9364" w:type="dxa"/>
        <w:jc w:val="left"/>
        <w:tblInd w:w="0"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top w:w="0" w:type="dxa"/>
          <w:left w:w="0" w:type="dxa"/>
          <w:bottom w:w="0" w:type="dxa"/>
          <w:right w:w="0" w:type="dxa"/>
        </w:tblCellMar>
        <w:tblLook w:firstRow="0" w:noVBand="0" w:lastRow="0" w:firstColumn="0" w:lastColumn="0" w:noHBand="0" w:val="0000"/>
      </w:tblPr>
      <w:tblGrid>
        <w:gridCol w:w="2786"/>
        <w:gridCol w:w="1645"/>
        <w:gridCol w:w="1644"/>
        <w:gridCol w:w="1644"/>
        <w:gridCol w:w="1645"/>
      </w:tblGrid>
      <w:tr>
        <w:trPr>
          <w:tblHeader w:val="true"/>
          <w:trHeight w:val="166" w:hRule="atLeast"/>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18"/>
              </w:rPr>
            </w:pPr>
            <w:r>
              <w:rPr>
                <w:rFonts w:cs="Arial" w:ascii="Arial" w:hAnsi="Arial"/>
                <w:b/>
                <w:sz w:val="18"/>
                <w:szCs w:val="18"/>
              </w:rPr>
              <w:t>Zanieczyszczenie</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18"/>
              </w:rPr>
            </w:pPr>
            <w:r>
              <w:rPr>
                <w:rFonts w:cs="Arial" w:ascii="Arial" w:hAnsi="Arial"/>
                <w:b/>
                <w:sz w:val="18"/>
                <w:szCs w:val="18"/>
              </w:rPr>
              <w:t>S</w:t>
            </w:r>
            <w:r>
              <w:rPr>
                <w:rFonts w:cs="Arial" w:ascii="Arial" w:hAnsi="Arial"/>
                <w:b/>
                <w:sz w:val="18"/>
                <w:szCs w:val="18"/>
                <w:vertAlign w:val="subscript"/>
              </w:rPr>
              <w:t>mm</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tcPr>
          <w:p>
            <w:pPr>
              <w:pStyle w:val="Normal"/>
              <w:widowControl w:val="false"/>
              <w:spacing w:before="40" w:after="40"/>
              <w:ind w:hanging="0"/>
              <w:jc w:val="center"/>
              <w:rPr>
                <w:rFonts w:ascii="Arial" w:hAnsi="Arial" w:cs="Arial"/>
                <w:b/>
                <w:b/>
                <w:sz w:val="18"/>
                <w:szCs w:val="18"/>
              </w:rPr>
            </w:pPr>
            <w:r>
              <w:rPr>
                <w:rFonts w:cs="Arial" w:ascii="Arial" w:hAnsi="Arial"/>
                <w:b/>
                <w:sz w:val="18"/>
                <w:szCs w:val="18"/>
              </w:rPr>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18"/>
              </w:rPr>
            </w:pPr>
            <w:r>
              <w:rPr>
                <w:rFonts w:cs="Arial" w:ascii="Arial" w:hAnsi="Arial"/>
                <w:b/>
                <w:sz w:val="18"/>
                <w:szCs w:val="18"/>
              </w:rPr>
              <w:t>D1 [µg/m</w:t>
            </w:r>
            <w:r>
              <w:rPr>
                <w:rFonts w:cs="Arial" w:ascii="Arial" w:hAnsi="Arial"/>
                <w:b/>
                <w:sz w:val="18"/>
                <w:szCs w:val="18"/>
                <w:vertAlign w:val="superscript"/>
              </w:rPr>
              <w:t>3</w:t>
            </w:r>
            <w:r>
              <w:rPr>
                <w:rFonts w:cs="Arial" w:ascii="Arial" w:hAnsi="Arial"/>
                <w:b/>
                <w:sz w:val="18"/>
                <w:szCs w:val="18"/>
              </w:rPr>
              <w:t>]</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Domy3flnie"/>
              <w:spacing w:before="40" w:after="40"/>
              <w:jc w:val="center"/>
              <w:rPr>
                <w:rFonts w:ascii="Arial" w:hAnsi="Arial" w:cs="Arial"/>
                <w:b/>
                <w:b/>
                <w:color w:val="000000"/>
                <w:sz w:val="18"/>
                <w:szCs w:val="18"/>
              </w:rPr>
            </w:pPr>
            <w:r>
              <w:rPr>
                <w:rFonts w:cs="Arial" w:ascii="Arial" w:hAnsi="Arial"/>
                <w:b/>
                <w:color w:val="000000"/>
                <w:sz w:val="18"/>
                <w:szCs w:val="18"/>
              </w:rPr>
              <w:t>10% D</w:t>
            </w:r>
            <w:r>
              <w:rPr>
                <w:rFonts w:cs="Arial" w:ascii="Arial" w:hAnsi="Arial"/>
                <w:b/>
                <w:color w:val="000000"/>
                <w:sz w:val="18"/>
                <w:szCs w:val="18"/>
                <w:vertAlign w:val="subscript"/>
              </w:rPr>
              <w:t>1</w:t>
            </w:r>
            <w:r>
              <w:rPr>
                <w:rFonts w:cs="Arial" w:ascii="Arial" w:hAnsi="Arial"/>
                <w:b/>
                <w:color w:val="000000"/>
                <w:sz w:val="18"/>
                <w:szCs w:val="18"/>
              </w:rPr>
              <w:t xml:space="preserve"> [μg/m</w:t>
            </w:r>
            <w:r>
              <w:rPr>
                <w:rFonts w:cs="Arial" w:ascii="Arial" w:hAnsi="Arial"/>
                <w:b/>
                <w:color w:val="000000"/>
                <w:sz w:val="18"/>
                <w:szCs w:val="18"/>
                <w:vertAlign w:val="superscript"/>
              </w:rPr>
              <w:t>3</w:t>
            </w:r>
            <w:r>
              <w:rPr>
                <w:rFonts w:cs="Arial" w:ascii="Arial" w:hAnsi="Arial"/>
                <w:b/>
                <w:color w:val="000000"/>
                <w:sz w:val="18"/>
                <w:szCs w:val="18"/>
              </w:rPr>
              <w:t>]</w:t>
            </w:r>
          </w:p>
        </w:tc>
      </w:tr>
      <w:tr>
        <w:trPr>
          <w:trHeight w:val="55" w:hRule="atLeast"/>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pył PM10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3,797</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280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28</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dwutlenek siarki</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50,406</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350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35</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left="57" w:hanging="0"/>
              <w:rPr>
                <w:rFonts w:ascii="Arial" w:hAnsi="Arial" w:cs="Arial"/>
                <w:sz w:val="18"/>
                <w:szCs w:val="18"/>
              </w:rPr>
            </w:pPr>
            <w:r>
              <w:rPr>
                <w:rFonts w:cs="Arial" w:ascii="Arial" w:hAnsi="Arial"/>
                <w:sz w:val="18"/>
                <w:szCs w:val="18"/>
              </w:rPr>
              <w:t>dwutlenek azotu</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10,114</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200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20</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tlenek węgla</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47,444</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30 000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3 000</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arsen</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0,001</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0,2</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0,02</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kadm</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0,003</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0,52</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0,052</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chlorowodór</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15,124</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200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20</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mangan</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0,003</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9</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0,9</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miedź</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0,021</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nikiel</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0,001</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0,23</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0,023</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ołów</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0,028</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5</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0,5</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rtęć</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0,006</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0,7</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0,07</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wanad</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0,000</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2,3</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0,23</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chrom (VI)</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0,002</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4,6</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0,46</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chrom ( III i IV)</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0,002</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kobalt</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0,000</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5</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0,5</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tal</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0,003</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1</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0,1</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antymon</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0,006</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23</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2,3</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pył PM2,5</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3,797</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benzen</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0,151</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węglowodory aromatyczne</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1,177</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1000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100</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węglowodory alifatyczne</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4,75</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3000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300</w:t>
            </w:r>
          </w:p>
        </w:tc>
      </w:tr>
    </w:tbl>
    <w:p>
      <w:pPr>
        <w:pStyle w:val="Normal"/>
        <w:spacing w:lineRule="auto" w:line="360"/>
        <w:rPr/>
      </w:pPr>
      <w:r>
        <w:rPr/>
      </w:r>
    </w:p>
    <w:p>
      <w:pPr>
        <w:pStyle w:val="Normal"/>
        <w:rPr/>
      </w:pPr>
      <w:r>
        <w:rPr/>
        <w:t xml:space="preserve">Dla substancji, dla których stężenia maksymalne jednogodzinne są wyższe niż 10% wartości odniesienia poza terenem, do którego Inwestor posiada tytuł prawny, wykonano pełny zakres obliczeń. Poniżej przedstawiono dla tych substancji porównanie stężeń rocznych z wartościami odniesienia uśrednionymi dla roku.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38</w:t>
      </w:r>
      <w:r>
        <w:fldChar w:fldCharType="end"/>
      </w:r>
      <w:r>
        <w:rPr/>
        <w:t>.</w:t>
      </w:r>
      <w:r>
        <w:rPr>
          <w:b w:val="false"/>
        </w:rPr>
        <w:t xml:space="preserve"> Porównanie stężeń średniorocznych S</w:t>
      </w:r>
      <w:r>
        <w:rPr>
          <w:b w:val="false"/>
          <w:vertAlign w:val="subscript"/>
        </w:rPr>
        <w:t xml:space="preserve">a  </w:t>
      </w:r>
      <w:r>
        <w:rPr>
          <w:b w:val="false"/>
        </w:rPr>
        <w:t>z dopuszczalnymi D</w:t>
      </w:r>
      <w:r>
        <w:rPr>
          <w:b w:val="false"/>
          <w:vertAlign w:val="subscript"/>
        </w:rPr>
        <w:t>a</w:t>
      </w:r>
    </w:p>
    <w:tbl>
      <w:tblPr>
        <w:tblW w:w="9353" w:type="dxa"/>
        <w:jc w:val="left"/>
        <w:tblInd w:w="6"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0" w:type="dxa"/>
        </w:tblCellMar>
        <w:tblLook w:firstRow="0" w:noVBand="0" w:lastRow="0" w:firstColumn="0" w:lastColumn="0" w:noHBand="0" w:val="0000"/>
      </w:tblPr>
      <w:tblGrid>
        <w:gridCol w:w="2009"/>
        <w:gridCol w:w="1467"/>
        <w:gridCol w:w="1469"/>
        <w:gridCol w:w="1470"/>
        <w:gridCol w:w="1469"/>
        <w:gridCol w:w="1468"/>
      </w:tblGrid>
      <w:tr>
        <w:trPr>
          <w:trHeight w:val="65" w:hRule="atLeast"/>
        </w:trPr>
        <w:tc>
          <w:tcPr>
            <w:tcW w:w="200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0" w:type="dxa"/>
            </w:tcMar>
            <w:vAlign w:val="center"/>
          </w:tcPr>
          <w:p>
            <w:pPr>
              <w:pStyle w:val="Domy3flnie"/>
              <w:spacing w:before="40" w:after="40"/>
              <w:jc w:val="center"/>
              <w:rPr>
                <w:rFonts w:ascii="Arial" w:hAnsi="Arial" w:cs="Arial"/>
                <w:color w:val="000000"/>
                <w:sz w:val="18"/>
                <w:szCs w:val="22"/>
              </w:rPr>
            </w:pPr>
            <w:r>
              <w:rPr>
                <w:rFonts w:cs="Arial" w:ascii="Arial" w:hAnsi="Arial"/>
                <w:b/>
                <w:bCs/>
                <w:color w:val="000000"/>
                <w:sz w:val="18"/>
                <w:szCs w:val="22"/>
              </w:rPr>
              <w:t>Zanieczyszczenie</w:t>
            </w:r>
          </w:p>
        </w:tc>
        <w:tc>
          <w:tcPr>
            <w:tcW w:w="14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0"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D</w:t>
            </w:r>
            <w:r>
              <w:rPr>
                <w:rFonts w:cs="Arial" w:ascii="Arial" w:hAnsi="Arial"/>
                <w:b/>
                <w:color w:val="000000"/>
                <w:position w:val="-5"/>
                <w:sz w:val="18"/>
                <w:szCs w:val="22"/>
              </w:rPr>
              <w:t xml:space="preserve">a </w:t>
            </w:r>
            <w:r>
              <w:rPr>
                <w:rFonts w:cs="Arial" w:ascii="Arial" w:hAnsi="Arial"/>
                <w:b/>
                <w:color w:val="000000"/>
                <w:sz w:val="18"/>
                <w:szCs w:val="22"/>
              </w:rPr>
              <w:t>[μg/m</w:t>
            </w:r>
            <w:r>
              <w:rPr>
                <w:rFonts w:cs="Arial" w:ascii="Arial" w:hAnsi="Arial"/>
                <w:b/>
                <w:color w:val="000000"/>
                <w:sz w:val="18"/>
                <w:szCs w:val="22"/>
                <w:vertAlign w:val="superscript"/>
              </w:rPr>
              <w:t>3</w:t>
            </w:r>
            <w:r>
              <w:rPr>
                <w:rFonts w:cs="Arial" w:ascii="Arial" w:hAnsi="Arial"/>
                <w:b/>
                <w:color w:val="000000"/>
                <w:sz w:val="18"/>
                <w:szCs w:val="22"/>
              </w:rPr>
              <w:t xml:space="preserve">] </w:t>
            </w:r>
          </w:p>
        </w:tc>
        <w:tc>
          <w:tcPr>
            <w:tcW w:w="14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0"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R [μg/m</w:t>
            </w:r>
            <w:r>
              <w:rPr>
                <w:rFonts w:cs="Arial" w:ascii="Arial" w:hAnsi="Arial"/>
                <w:b/>
                <w:color w:val="000000"/>
                <w:sz w:val="18"/>
                <w:szCs w:val="22"/>
                <w:vertAlign w:val="superscript"/>
              </w:rPr>
              <w:t>3</w:t>
            </w:r>
            <w:r>
              <w:rPr>
                <w:rFonts w:cs="Arial" w:ascii="Arial" w:hAnsi="Arial"/>
                <w:b/>
                <w:color w:val="000000"/>
                <w:sz w:val="18"/>
                <w:szCs w:val="22"/>
              </w:rPr>
              <w:t xml:space="preserve">] </w:t>
            </w:r>
          </w:p>
        </w:tc>
        <w:tc>
          <w:tcPr>
            <w:tcW w:w="14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0"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S</w:t>
            </w:r>
            <w:r>
              <w:rPr>
                <w:rFonts w:cs="Arial" w:ascii="Arial" w:hAnsi="Arial"/>
                <w:b/>
                <w:color w:val="000000"/>
                <w:position w:val="-5"/>
                <w:sz w:val="18"/>
                <w:szCs w:val="22"/>
              </w:rPr>
              <w:t>a</w:t>
            </w:r>
            <w:r>
              <w:rPr>
                <w:rFonts w:cs="Arial" w:ascii="Arial" w:hAnsi="Arial"/>
                <w:b/>
                <w:color w:val="000000"/>
                <w:sz w:val="18"/>
                <w:szCs w:val="22"/>
              </w:rPr>
              <w:t xml:space="preserve"> [μg/m</w:t>
            </w:r>
            <w:r>
              <w:rPr>
                <w:rFonts w:cs="Arial" w:ascii="Arial" w:hAnsi="Arial"/>
                <w:b/>
                <w:color w:val="000000"/>
                <w:sz w:val="18"/>
                <w:szCs w:val="22"/>
                <w:vertAlign w:val="superscript"/>
              </w:rPr>
              <w:t>3</w:t>
            </w:r>
            <w:r>
              <w:rPr>
                <w:rFonts w:cs="Arial" w:ascii="Arial" w:hAnsi="Arial"/>
                <w:b/>
                <w:color w:val="000000"/>
                <w:sz w:val="18"/>
                <w:szCs w:val="22"/>
              </w:rPr>
              <w:t>]</w:t>
            </w:r>
          </w:p>
        </w:tc>
        <w:tc>
          <w:tcPr>
            <w:tcW w:w="14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0" w:type="dxa"/>
            </w:tcMar>
            <w:vAlign w:val="center"/>
          </w:tcPr>
          <w:p>
            <w:pPr>
              <w:pStyle w:val="Domy3flnie"/>
              <w:spacing w:before="40" w:after="40"/>
              <w:jc w:val="center"/>
              <w:rPr>
                <w:rFonts w:ascii="Arial" w:hAnsi="Arial" w:cs="Arial"/>
                <w:color w:val="000000"/>
                <w:sz w:val="18"/>
                <w:szCs w:val="22"/>
              </w:rPr>
            </w:pPr>
            <w:r>
              <w:rPr>
                <w:rFonts w:cs="Arial" w:ascii="Arial" w:hAnsi="Arial"/>
                <w:color w:val="000000"/>
                <w:sz w:val="18"/>
                <w:szCs w:val="22"/>
              </w:rPr>
            </w:r>
          </w:p>
        </w:tc>
        <w:tc>
          <w:tcPr>
            <w:tcW w:w="14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0"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D</w:t>
            </w:r>
            <w:r>
              <w:rPr>
                <w:rFonts w:cs="Arial" w:ascii="Arial" w:hAnsi="Arial"/>
                <w:b/>
                <w:color w:val="000000"/>
                <w:position w:val="-5"/>
                <w:sz w:val="18"/>
                <w:szCs w:val="22"/>
              </w:rPr>
              <w:t>a</w:t>
            </w:r>
            <w:r>
              <w:rPr>
                <w:rFonts w:cs="Arial" w:ascii="Arial" w:hAnsi="Arial"/>
                <w:b/>
                <w:color w:val="000000"/>
                <w:sz w:val="18"/>
                <w:szCs w:val="22"/>
              </w:rPr>
              <w:t xml:space="preserve"> - R [μg/m</w:t>
            </w:r>
            <w:r>
              <w:rPr>
                <w:rFonts w:cs="Arial" w:ascii="Arial" w:hAnsi="Arial"/>
                <w:b/>
                <w:color w:val="000000"/>
                <w:sz w:val="18"/>
                <w:szCs w:val="22"/>
                <w:vertAlign w:val="superscript"/>
              </w:rPr>
              <w:t>3</w:t>
            </w:r>
            <w:r>
              <w:rPr>
                <w:rFonts w:cs="Arial" w:ascii="Arial" w:hAnsi="Arial"/>
                <w:b/>
                <w:color w:val="000000"/>
                <w:sz w:val="18"/>
                <w:szCs w:val="22"/>
              </w:rPr>
              <w:t>]</w:t>
            </w:r>
          </w:p>
        </w:tc>
      </w:tr>
      <w:tr>
        <w:trPr>
          <w:trHeight w:val="65" w:hRule="atLeast"/>
        </w:trPr>
        <w:tc>
          <w:tcPr>
            <w:tcW w:w="200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vAlign w:val="center"/>
          </w:tcPr>
          <w:p>
            <w:pPr>
              <w:pStyle w:val="Domy3flnie"/>
              <w:spacing w:before="40" w:after="40"/>
              <w:ind w:left="57" w:firstLine="397"/>
              <w:rPr>
                <w:rFonts w:ascii="Arial" w:hAnsi="Arial" w:cs="Arial"/>
                <w:color w:val="000000"/>
                <w:sz w:val="18"/>
                <w:szCs w:val="22"/>
              </w:rPr>
            </w:pPr>
            <w:r>
              <w:rPr>
                <w:rFonts w:cs="Arial" w:ascii="Arial" w:hAnsi="Arial"/>
                <w:color w:val="000000"/>
                <w:sz w:val="18"/>
                <w:szCs w:val="22"/>
              </w:rPr>
              <w:t>dwutlenek siarki</w:t>
            </w:r>
          </w:p>
        </w:tc>
        <w:tc>
          <w:tcPr>
            <w:tcW w:w="14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20</w:t>
            </w:r>
          </w:p>
        </w:tc>
        <w:tc>
          <w:tcPr>
            <w:tcW w:w="14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17</w:t>
            </w:r>
          </w:p>
        </w:tc>
        <w:tc>
          <w:tcPr>
            <w:tcW w:w="14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vAlign w:val="center"/>
          </w:tcPr>
          <w:p>
            <w:pPr>
              <w:pStyle w:val="Normal"/>
              <w:spacing w:before="40" w:after="40"/>
              <w:ind w:hanging="0"/>
              <w:jc w:val="center"/>
              <w:rPr>
                <w:rFonts w:ascii="Arial" w:hAnsi="Arial" w:cs="Arial"/>
                <w:bCs/>
                <w:sz w:val="18"/>
                <w:szCs w:val="22"/>
              </w:rPr>
            </w:pPr>
            <w:r>
              <w:rPr>
                <w:rFonts w:cs="Arial" w:ascii="Arial" w:hAnsi="Arial"/>
                <w:bCs/>
                <w:sz w:val="18"/>
                <w:szCs w:val="22"/>
              </w:rPr>
              <w:t>0,9838</w:t>
            </w:r>
          </w:p>
        </w:tc>
        <w:tc>
          <w:tcPr>
            <w:tcW w:w="14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w:t>
            </w:r>
          </w:p>
        </w:tc>
        <w:tc>
          <w:tcPr>
            <w:tcW w:w="14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3</w:t>
            </w:r>
          </w:p>
        </w:tc>
      </w:tr>
    </w:tbl>
    <w:p>
      <w:pPr>
        <w:pStyle w:val="Normal"/>
        <w:spacing w:lineRule="auto" w:line="360"/>
        <w:rPr/>
      </w:pPr>
      <w:r>
        <w:rPr/>
      </w:r>
    </w:p>
    <w:p>
      <w:pPr>
        <w:pStyle w:val="Normal"/>
        <w:rPr>
          <w:b/>
          <w:b/>
        </w:rPr>
      </w:pPr>
      <w:r>
        <w:rPr>
          <w:b/>
        </w:rPr>
        <w:t>Kryterium opadu pyłu</w:t>
      </w:r>
    </w:p>
    <w:p>
      <w:pPr>
        <w:pStyle w:val="Normal"/>
        <w:rPr/>
      </w:pPr>
      <w:r>
        <w:rPr/>
        <w:t>0,0667/n * ∑ h</w:t>
      </w:r>
      <w:r>
        <w:rPr>
          <w:vertAlign w:val="superscript"/>
        </w:rPr>
        <w:t>3,15</w:t>
      </w:r>
      <w:r>
        <w:rPr/>
        <w:t xml:space="preserve"> = 836</w:t>
      </w:r>
    </w:p>
    <w:p>
      <w:pPr>
        <w:pStyle w:val="Normal"/>
        <w:rPr/>
      </w:pPr>
      <w:r>
        <w:rPr/>
        <w:t>Suma emisji średniorocznej pyłu =  21,9  &lt; 836  [mg/s]</w:t>
      </w:r>
    </w:p>
    <w:p>
      <w:pPr>
        <w:pStyle w:val="Normal"/>
        <w:rPr/>
      </w:pPr>
      <w:r>
        <w:rPr/>
        <w:t>Łączna emisja roczna  =  0,692  &lt; 10 000  [Mg]</w:t>
      </w:r>
    </w:p>
    <w:p>
      <w:pPr>
        <w:pStyle w:val="Normal"/>
        <w:rPr>
          <w:bCs/>
          <w:u w:val="single"/>
        </w:rPr>
      </w:pPr>
      <w:r>
        <w:rPr>
          <w:bCs/>
          <w:u w:val="single"/>
        </w:rPr>
        <w:t>Nie potrzeba obliczać opadu pyłu.</w:t>
      </w:r>
    </w:p>
    <w:p>
      <w:pPr>
        <w:pStyle w:val="Normal"/>
        <w:rPr>
          <w:b/>
          <w:b/>
        </w:rPr>
      </w:pPr>
      <w:r>
        <w:rPr>
          <w:b/>
        </w:rPr>
      </w:r>
    </w:p>
    <w:p>
      <w:pPr>
        <w:pStyle w:val="Normal"/>
        <w:rPr>
          <w:b/>
          <w:b/>
        </w:rPr>
      </w:pPr>
      <w:r>
        <w:rPr>
          <w:b/>
        </w:rPr>
        <w:t>Kryterium opadu ołowiu</w:t>
      </w:r>
    </w:p>
    <w:p>
      <w:pPr>
        <w:pStyle w:val="Normal"/>
        <w:rPr/>
      </w:pPr>
      <w:r>
        <w:rPr/>
        <w:t>0,0667*0.05/100/n * ∑ h</w:t>
      </w:r>
      <w:r>
        <w:rPr>
          <w:vertAlign w:val="superscript"/>
        </w:rPr>
        <w:t>3,15</w:t>
      </w:r>
      <w:r>
        <w:rPr/>
        <w:t xml:space="preserve"> = 0,418</w:t>
      </w:r>
    </w:p>
    <w:p>
      <w:pPr>
        <w:pStyle w:val="Normal"/>
        <w:rPr/>
      </w:pPr>
      <w:r>
        <w:rPr/>
        <w:t xml:space="preserve">Suma emisji średniorocznej ołowiu </w:t>
      </w:r>
      <w:r>
        <w:rPr>
          <w:sz w:val="22"/>
          <w:szCs w:val="22"/>
        </w:rPr>
        <w:t xml:space="preserve">=  </w:t>
      </w:r>
      <w:r>
        <w:rPr>
          <w:color w:val="00000A"/>
          <w:sz w:val="22"/>
          <w:szCs w:val="22"/>
        </w:rPr>
        <w:t>0,48262</w:t>
      </w:r>
      <w:r>
        <w:rPr>
          <w:rFonts w:cs="Arial" w:ascii="Arial" w:hAnsi="Arial"/>
          <w:color w:val="00000A"/>
          <w:sz w:val="20"/>
        </w:rPr>
        <w:t xml:space="preserve"> </w:t>
      </w:r>
      <w:r>
        <w:rPr/>
        <w:t>&gt; 0,418 [mg/s]</w:t>
      </w:r>
    </w:p>
    <w:p>
      <w:pPr>
        <w:pStyle w:val="Normal"/>
        <w:rPr/>
      </w:pPr>
      <w:r>
        <w:rPr/>
        <w:t>Łączna emisja roczna ołowiu =  0,0152 &lt; 5 [Mg]</w:t>
      </w:r>
    </w:p>
    <w:p>
      <w:pPr>
        <w:pStyle w:val="Normal"/>
        <w:rPr>
          <w:bCs/>
          <w:u w:val="single"/>
        </w:rPr>
      </w:pPr>
      <w:r>
        <w:rPr>
          <w:bCs/>
          <w:u w:val="single"/>
        </w:rPr>
        <w:t>Należy obliczyć opad ołowiu.</w:t>
      </w:r>
    </w:p>
    <w:p>
      <w:pPr>
        <w:pStyle w:val="Normal"/>
        <w:rPr>
          <w:b/>
          <w:b/>
        </w:rPr>
      </w:pPr>
      <w:r>
        <w:rPr>
          <w:b/>
        </w:rPr>
      </w:r>
    </w:p>
    <w:p>
      <w:pPr>
        <w:pStyle w:val="Normal"/>
        <w:rPr>
          <w:b/>
          <w:b/>
        </w:rPr>
      </w:pPr>
      <w:r>
        <w:rPr>
          <w:b/>
        </w:rPr>
        <w:t>Kryterium opadu kadmu</w:t>
      </w:r>
    </w:p>
    <w:p>
      <w:pPr>
        <w:pStyle w:val="Normal"/>
        <w:rPr/>
      </w:pPr>
      <w:r>
        <w:rPr/>
        <w:t>0,0667*0.05/100/n * ∑ h</w:t>
      </w:r>
      <w:r>
        <w:rPr>
          <w:vertAlign w:val="superscript"/>
        </w:rPr>
        <w:t>3,15</w:t>
      </w:r>
      <w:r>
        <w:rPr/>
        <w:t xml:space="preserve"> = 0,0418</w:t>
      </w:r>
    </w:p>
    <w:p>
      <w:pPr>
        <w:pStyle w:val="Normal"/>
        <w:rPr/>
      </w:pPr>
      <w:r>
        <w:rPr/>
        <w:t xml:space="preserve">Suma emisji średniorocznej kadmu </w:t>
      </w:r>
      <w:r>
        <w:rPr>
          <w:sz w:val="22"/>
          <w:szCs w:val="22"/>
        </w:rPr>
        <w:t xml:space="preserve">=  </w:t>
      </w:r>
      <w:r>
        <w:rPr>
          <w:color w:val="00000A"/>
          <w:sz w:val="22"/>
          <w:szCs w:val="22"/>
        </w:rPr>
        <w:t xml:space="preserve">0,055175 </w:t>
      </w:r>
      <w:r>
        <w:rPr/>
        <w:t>&gt; 0,0418 [mg/s]</w:t>
      </w:r>
    </w:p>
    <w:p>
      <w:pPr>
        <w:pStyle w:val="Normal"/>
        <w:rPr/>
      </w:pPr>
      <w:r>
        <w:rPr/>
        <w:t xml:space="preserve">Łączna emisja roczna kadmu </w:t>
      </w:r>
      <w:r>
        <w:rPr>
          <w:sz w:val="22"/>
          <w:szCs w:val="22"/>
        </w:rPr>
        <w:t xml:space="preserve">=  </w:t>
      </w:r>
      <w:r>
        <w:rPr>
          <w:color w:val="00000A"/>
          <w:sz w:val="22"/>
          <w:szCs w:val="22"/>
        </w:rPr>
        <w:t>0,00174</w:t>
      </w:r>
      <w:r>
        <w:rPr>
          <w:rFonts w:cs="Arial" w:ascii="Arial" w:hAnsi="Arial"/>
          <w:color w:val="00000A"/>
          <w:sz w:val="20"/>
        </w:rPr>
        <w:t xml:space="preserve"> </w:t>
      </w:r>
      <w:r>
        <w:rPr/>
        <w:t>&lt; 0,5  [Mg]</w:t>
      </w:r>
    </w:p>
    <w:p>
      <w:pPr>
        <w:pStyle w:val="Normal"/>
        <w:rPr>
          <w:bCs/>
          <w:u w:val="single"/>
        </w:rPr>
      </w:pPr>
      <w:r>
        <w:rPr>
          <w:bCs/>
          <w:u w:val="single"/>
        </w:rPr>
        <w:t>Należy obliczyć opad kadmu.</w:t>
      </w:r>
    </w:p>
    <w:p>
      <w:pPr>
        <w:pStyle w:val="Normal"/>
        <w:rPr/>
      </w:pPr>
      <w:r>
        <w:rPr/>
      </w:r>
    </w:p>
    <w:p>
      <w:pPr>
        <w:pStyle w:val="Normal"/>
        <w:rPr>
          <w:bCs/>
        </w:rPr>
      </w:pPr>
      <w:r>
        <w:rPr>
          <w:bCs/>
        </w:rPr>
        <w:t>Wyniki obliczeń opadu ołowiu oraz kadmu przedstawiono w poniższej tabeli.</w:t>
      </w:r>
    </w:p>
    <w:p>
      <w:pPr>
        <w:pStyle w:val="Normal"/>
        <w:rPr>
          <w:bCs/>
        </w:rPr>
      </w:pPr>
      <w:r>
        <w:rPr>
          <w:bCs/>
        </w:rPr>
      </w:r>
    </w:p>
    <w:p>
      <w:pPr>
        <w:pStyle w:val="Normal"/>
        <w:rPr>
          <w:bCs/>
        </w:rPr>
      </w:pPr>
      <w:r>
        <w:rPr>
          <w:bCs/>
        </w:rPr>
      </w:r>
    </w:p>
    <w:p>
      <w:pPr>
        <w:pStyle w:val="Caption"/>
        <w:keepNext/>
        <w:jc w:val="left"/>
        <w:rPr/>
      </w:pPr>
      <w:r>
        <w:rPr/>
        <w:t xml:space="preserve">Tabela </w:t>
      </w:r>
      <w:r>
        <w:rPr/>
        <w:fldChar w:fldCharType="begin"/>
      </w:r>
      <w:r>
        <w:instrText> SEQ Tabela \* ARABIC </w:instrText>
      </w:r>
      <w:r>
        <w:fldChar w:fldCharType="separate"/>
      </w:r>
      <w:r>
        <w:t>39</w:t>
      </w:r>
      <w:r>
        <w:fldChar w:fldCharType="end"/>
      </w:r>
      <w:r>
        <w:rPr/>
        <w:t>.</w:t>
      </w:r>
      <w:r>
        <w:rPr>
          <w:b w:val="false"/>
        </w:rPr>
        <w:t xml:space="preserve"> Wyniki obliczeń opadu ołowiu i kadmu</w:t>
      </w:r>
    </w:p>
    <w:tbl>
      <w:tblPr>
        <w:tblW w:w="9364" w:type="dxa"/>
        <w:jc w:val="left"/>
        <w:tblInd w:w="0"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top w:w="0" w:type="dxa"/>
          <w:left w:w="0" w:type="dxa"/>
          <w:bottom w:w="0" w:type="dxa"/>
          <w:right w:w="0" w:type="dxa"/>
        </w:tblCellMar>
        <w:tblLook w:firstRow="0" w:noVBand="0" w:lastRow="0" w:firstColumn="0" w:lastColumn="0" w:noHBand="0" w:val="0000"/>
      </w:tblPr>
      <w:tblGrid>
        <w:gridCol w:w="1872"/>
        <w:gridCol w:w="1873"/>
        <w:gridCol w:w="1873"/>
        <w:gridCol w:w="1873"/>
        <w:gridCol w:w="1873"/>
      </w:tblGrid>
      <w:tr>
        <w:trPr/>
        <w:tc>
          <w:tcPr>
            <w:tcW w:w="1872" w:type="dxa"/>
            <w:vMerge w:val="restart"/>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Opad</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X</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Y</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Opad+tło</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Opad dopuszczalny</w:t>
            </w:r>
          </w:p>
        </w:tc>
      </w:tr>
      <w:tr>
        <w:trPr/>
        <w:tc>
          <w:tcPr>
            <w:tcW w:w="1872" w:type="dxa"/>
            <w:vMerge w:val="continue"/>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rPr>
                <w:rFonts w:ascii="Arial" w:hAnsi="Arial" w:cs="Arial"/>
                <w:b/>
                <w:b/>
                <w:sz w:val="18"/>
                <w:szCs w:val="22"/>
              </w:rPr>
            </w:pPr>
            <w:r>
              <w:rPr>
                <w:rFonts w:cs="Arial" w:ascii="Arial" w:hAnsi="Arial"/>
                <w:b/>
                <w:sz w:val="18"/>
                <w:szCs w:val="22"/>
              </w:rPr>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[m]</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[m]</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[mg/m</w:t>
            </w:r>
            <w:r>
              <w:rPr>
                <w:rFonts w:cs="Arial" w:ascii="Arial" w:hAnsi="Arial"/>
                <w:b/>
                <w:sz w:val="18"/>
                <w:szCs w:val="22"/>
                <w:vertAlign w:val="superscript"/>
              </w:rPr>
              <w:t>2</w:t>
            </w:r>
            <w:r>
              <w:rPr>
                <w:rFonts w:cs="Arial" w:ascii="Arial" w:hAnsi="Arial"/>
                <w:b/>
                <w:sz w:val="18"/>
                <w:szCs w:val="22"/>
              </w:rPr>
              <w:t>/rok]</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[mg/m</w:t>
            </w:r>
            <w:r>
              <w:rPr>
                <w:rFonts w:cs="Arial" w:ascii="Arial" w:hAnsi="Arial"/>
                <w:b/>
                <w:sz w:val="18"/>
                <w:szCs w:val="22"/>
                <w:vertAlign w:val="superscript"/>
              </w:rPr>
              <w:t>2</w:t>
            </w:r>
            <w:r>
              <w:rPr>
                <w:rFonts w:cs="Arial" w:ascii="Arial" w:hAnsi="Arial"/>
                <w:b/>
                <w:sz w:val="18"/>
                <w:szCs w:val="22"/>
              </w:rPr>
              <w:t>/rok]</w:t>
            </w:r>
          </w:p>
        </w:tc>
      </w:tr>
      <w:tr>
        <w:trPr/>
        <w:tc>
          <w:tcPr>
            <w:tcW w:w="1872"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rPr>
                <w:rFonts w:ascii="Arial" w:hAnsi="Arial" w:cs="Arial"/>
                <w:sz w:val="18"/>
                <w:szCs w:val="22"/>
              </w:rPr>
            </w:pPr>
            <w:r>
              <w:rPr>
                <w:rFonts w:cs="Arial" w:ascii="Arial" w:hAnsi="Arial"/>
                <w:sz w:val="18"/>
                <w:szCs w:val="22"/>
              </w:rPr>
              <w:t xml:space="preserve"> </w:t>
            </w:r>
            <w:r>
              <w:rPr>
                <w:rFonts w:cs="Arial" w:ascii="Arial" w:hAnsi="Arial"/>
                <w:sz w:val="18"/>
                <w:szCs w:val="22"/>
              </w:rPr>
              <w:t xml:space="preserve">Opad ołowiu   </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22"/>
              </w:rPr>
            </w:pPr>
            <w:r>
              <w:rPr>
                <w:rFonts w:cs="Arial" w:ascii="Arial" w:hAnsi="Arial"/>
                <w:sz w:val="18"/>
                <w:szCs w:val="22"/>
              </w:rPr>
              <w:t>375</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22"/>
              </w:rPr>
            </w:pPr>
            <w:r>
              <w:rPr>
                <w:rFonts w:cs="Arial" w:ascii="Arial" w:hAnsi="Arial"/>
                <w:sz w:val="18"/>
                <w:szCs w:val="22"/>
              </w:rPr>
              <w:t>285</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22"/>
              </w:rPr>
            </w:pPr>
            <w:r>
              <w:rPr>
                <w:rFonts w:cs="Arial" w:ascii="Arial" w:hAnsi="Arial"/>
                <w:sz w:val="18"/>
                <w:szCs w:val="22"/>
              </w:rPr>
              <w:t>85,001</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hanging="0"/>
              <w:jc w:val="center"/>
              <w:rPr>
                <w:rFonts w:ascii="Arial" w:hAnsi="Arial" w:cs="Arial"/>
                <w:sz w:val="18"/>
                <w:szCs w:val="22"/>
              </w:rPr>
            </w:pPr>
            <w:r>
              <w:rPr>
                <w:rFonts w:cs="Arial" w:ascii="Arial" w:hAnsi="Arial"/>
                <w:sz w:val="18"/>
                <w:szCs w:val="22"/>
              </w:rPr>
              <w:t>100</w:t>
            </w:r>
          </w:p>
        </w:tc>
      </w:tr>
      <w:tr>
        <w:trPr/>
        <w:tc>
          <w:tcPr>
            <w:tcW w:w="1872"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rPr>
                <w:rFonts w:ascii="Arial" w:hAnsi="Arial" w:cs="Arial"/>
                <w:sz w:val="18"/>
                <w:szCs w:val="22"/>
              </w:rPr>
            </w:pPr>
            <w:r>
              <w:rPr>
                <w:rFonts w:cs="Arial" w:ascii="Arial" w:hAnsi="Arial"/>
                <w:sz w:val="18"/>
                <w:szCs w:val="22"/>
              </w:rPr>
              <w:t xml:space="preserve"> </w:t>
            </w:r>
            <w:r>
              <w:rPr>
                <w:rFonts w:cs="Arial" w:ascii="Arial" w:hAnsi="Arial"/>
                <w:sz w:val="18"/>
                <w:szCs w:val="22"/>
              </w:rPr>
              <w:t xml:space="preserve">Opad kadmu   </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22"/>
              </w:rPr>
            </w:pPr>
            <w:r>
              <w:rPr>
                <w:rFonts w:cs="Arial" w:ascii="Arial" w:hAnsi="Arial"/>
                <w:sz w:val="18"/>
                <w:szCs w:val="22"/>
              </w:rPr>
              <w:t>375</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22"/>
              </w:rPr>
            </w:pPr>
            <w:r>
              <w:rPr>
                <w:rFonts w:cs="Arial" w:ascii="Arial" w:hAnsi="Arial"/>
                <w:sz w:val="18"/>
                <w:szCs w:val="22"/>
              </w:rPr>
              <w:t>285</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keepNext/>
              <w:widowControl w:val="false"/>
              <w:spacing w:before="40" w:after="40"/>
              <w:ind w:hanging="0"/>
              <w:jc w:val="center"/>
              <w:rPr>
                <w:rFonts w:ascii="Arial" w:hAnsi="Arial" w:cs="Arial"/>
                <w:sz w:val="18"/>
                <w:szCs w:val="22"/>
              </w:rPr>
            </w:pPr>
            <w:r>
              <w:rPr>
                <w:rFonts w:cs="Arial" w:ascii="Arial" w:hAnsi="Arial"/>
                <w:sz w:val="18"/>
                <w:szCs w:val="22"/>
              </w:rPr>
              <w:t>9,574</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keepNext/>
              <w:widowControl w:val="false"/>
              <w:spacing w:before="40" w:after="40"/>
              <w:ind w:hanging="0"/>
              <w:jc w:val="center"/>
              <w:rPr>
                <w:rFonts w:ascii="Arial" w:hAnsi="Arial" w:cs="Arial"/>
                <w:sz w:val="18"/>
                <w:szCs w:val="22"/>
              </w:rPr>
            </w:pPr>
            <w:r>
              <w:rPr>
                <w:rFonts w:cs="Arial" w:ascii="Arial" w:hAnsi="Arial"/>
                <w:sz w:val="18"/>
                <w:szCs w:val="22"/>
              </w:rPr>
              <w:t>10</w:t>
            </w:r>
          </w:p>
        </w:tc>
      </w:tr>
    </w:tbl>
    <w:p>
      <w:pPr>
        <w:pStyle w:val="Normal"/>
        <w:rPr/>
      </w:pPr>
      <w:r>
        <w:rPr/>
      </w:r>
    </w:p>
    <w:p>
      <w:pPr>
        <w:pStyle w:val="Nagwek4"/>
        <w:numPr>
          <w:ilvl w:val="3"/>
          <w:numId w:val="2"/>
        </w:numPr>
        <w:ind w:hanging="992"/>
        <w:rPr/>
      </w:pPr>
      <w:r>
        <w:rPr/>
        <w:t>Wnioski</w:t>
      </w:r>
    </w:p>
    <w:p>
      <w:pPr>
        <w:pStyle w:val="Tretekstu"/>
        <w:spacing w:before="0" w:after="60"/>
        <w:ind w:hanging="0"/>
        <w:jc w:val="left"/>
        <w:rPr>
          <w:b/>
          <w:b/>
          <w:u w:val="single"/>
        </w:rPr>
      </w:pPr>
      <w:r>
        <w:rPr>
          <w:b/>
          <w:u w:val="single"/>
        </w:rPr>
        <w:t>Wyniki modelowania rozprzestrzeniania się zanieczyszczeń w powietrzu</w:t>
      </w:r>
    </w:p>
    <w:p>
      <w:pPr>
        <w:pStyle w:val="Normal"/>
        <w:rPr/>
      </w:pPr>
      <w:r>
        <w:rPr/>
        <w:t xml:space="preserve">Wykonane obliczenia </w:t>
      </w:r>
      <w:r>
        <w:rPr>
          <w:bCs/>
        </w:rPr>
        <w:t>modelowania</w:t>
      </w:r>
      <w:r>
        <w:rPr/>
        <w:t xml:space="preserve"> rozprzestrzeniania się zanieczyszczeń w powietrzu wykazały, że poza terenem zakładu nie będą przekraczane dopuszczalne normy, określone w Rozporządzeniu Ministra Środowiska z dnia 26 stycznia 2010 r. </w:t>
      </w:r>
      <w:r>
        <w:rPr>
          <w:i/>
          <w:iCs/>
        </w:rPr>
        <w:t>w sprawie wartości odniesienia dla niektórych substancji w powietrzu</w:t>
      </w:r>
      <w:r>
        <w:rPr/>
        <w:t xml:space="preserve"> (Dz. U. Nr 16 z 2010 roku, poz. 87).</w:t>
      </w:r>
    </w:p>
    <w:p>
      <w:pPr>
        <w:pStyle w:val="Normal"/>
        <w:rPr/>
      </w:pPr>
      <w:r>
        <w:rPr/>
      </w:r>
    </w:p>
    <w:p>
      <w:pPr>
        <w:pStyle w:val="Tretekstu"/>
        <w:spacing w:before="0" w:after="60"/>
        <w:ind w:hanging="0"/>
        <w:jc w:val="left"/>
        <w:rPr>
          <w:b/>
          <w:b/>
          <w:u w:val="single"/>
        </w:rPr>
      </w:pPr>
      <w:r>
        <w:rPr>
          <w:b/>
          <w:u w:val="single"/>
        </w:rPr>
        <w:t>Ocena jakości powietrza w województwie śląskim za 2017 r.</w:t>
      </w:r>
    </w:p>
    <w:p>
      <w:pPr>
        <w:pStyle w:val="Normal"/>
        <w:rPr/>
      </w:pPr>
      <w:r>
        <w:rPr/>
        <w:t xml:space="preserve">Na potrzeby niniejszego raportu </w:t>
      </w:r>
      <w:r>
        <w:rPr>
          <w:bCs/>
        </w:rPr>
        <w:t>przeanalizowano</w:t>
      </w:r>
      <w:r>
        <w:rPr/>
        <w:t xml:space="preserve"> zapisy dokumentu </w:t>
      </w:r>
      <w:r>
        <w:rPr>
          <w:i/>
        </w:rPr>
        <w:t>„Szesnasta roczna ocena jakości powietrza w województwie śląskim obejmująca 2017 r.”</w:t>
      </w:r>
      <w:r>
        <w:rPr/>
        <w:t>, WIOŚ w Katowicach,</w:t>
        <w:br/>
        <w:t>kwiecień 2018 r.</w:t>
      </w:r>
    </w:p>
    <w:p>
      <w:pPr>
        <w:pStyle w:val="Normal"/>
        <w:rPr/>
      </w:pPr>
      <w:r>
        <w:rPr/>
        <w:t xml:space="preserve">Na terenie </w:t>
      </w:r>
      <w:r>
        <w:rPr>
          <w:bCs/>
        </w:rPr>
        <w:t>województwa</w:t>
      </w:r>
      <w:r>
        <w:rPr/>
        <w:t xml:space="preserve"> śląskiego zostało wydzielone 5 stref, dla których dokonuje się oceny jakości powietrza. Planowana inwestycja zostanie zrealizowana w Żywcu, który znajduje się w tzw. strefie śląskiej.</w:t>
      </w:r>
    </w:p>
    <w:p>
      <w:pPr>
        <w:pStyle w:val="Normal"/>
        <w:rPr/>
      </w:pPr>
      <w:r>
        <w:rPr/>
        <w:t>Wydzielone strefy jakości powietrza zalicza się do następujących klas:</w:t>
      </w:r>
    </w:p>
    <w:p>
      <w:pPr>
        <w:pStyle w:val="NormalWeb"/>
        <w:numPr>
          <w:ilvl w:val="0"/>
          <w:numId w:val="74"/>
        </w:numPr>
        <w:spacing w:beforeAutospacing="0" w:before="0" w:afterAutospacing="0" w:after="0"/>
        <w:ind w:left="709" w:hanging="312"/>
        <w:rPr/>
      </w:pPr>
      <w:r>
        <w:rPr/>
        <w:t xml:space="preserve">A – jeżeli stężenia zanieczyszczenia na jej terenie nie przekraczały odpowiednio poziomów dopuszczalnych, poziomów docelowych, poziomów celów długoterminowych, </w:t>
      </w:r>
    </w:p>
    <w:p>
      <w:pPr>
        <w:pStyle w:val="NormalWeb"/>
        <w:numPr>
          <w:ilvl w:val="0"/>
          <w:numId w:val="74"/>
        </w:numPr>
        <w:spacing w:beforeAutospacing="0" w:before="0" w:afterAutospacing="0" w:after="0"/>
        <w:ind w:left="709" w:hanging="312"/>
        <w:rPr/>
      </w:pPr>
      <w:r>
        <w:rPr/>
        <w:t xml:space="preserve">C – jeżeli stężenia zanieczyszczenia na jej terenie przekraczały poziomy dopuszczalne lub docelowe </w:t>
      </w:r>
    </w:p>
    <w:p>
      <w:pPr>
        <w:pStyle w:val="NormalWeb"/>
        <w:numPr>
          <w:ilvl w:val="0"/>
          <w:numId w:val="74"/>
        </w:numPr>
        <w:spacing w:beforeAutospacing="0" w:before="0" w:afterAutospacing="0" w:after="0"/>
        <w:ind w:left="709" w:hanging="312"/>
        <w:rPr/>
      </w:pPr>
      <w:r>
        <w:rPr/>
        <w:t>C1  –  jeżeli  stężenia  pyłu  zawieszonego  PM2,5  na  jej  terenie  przekraczały  poziom dopuszczalny 20 μg/m</w:t>
      </w:r>
      <w:r>
        <w:rPr>
          <w:vertAlign w:val="superscript"/>
        </w:rPr>
        <w:t>3</w:t>
      </w:r>
      <w:r>
        <w:rPr/>
        <w:t xml:space="preserve">  do osiągnięcia do dnia 1 stycznia 2020 roku (faza II), </w:t>
      </w:r>
    </w:p>
    <w:p>
      <w:pPr>
        <w:pStyle w:val="NormalWeb"/>
        <w:numPr>
          <w:ilvl w:val="0"/>
          <w:numId w:val="74"/>
        </w:numPr>
        <w:spacing w:beforeAutospacing="0" w:before="0" w:afterAutospacing="0" w:after="0"/>
        <w:ind w:left="709" w:hanging="312"/>
        <w:rPr/>
      </w:pPr>
      <w:r>
        <w:rPr/>
        <w:t xml:space="preserve">D1  –  jeżeli  stężenia  ozonu  w  powietrzu  na  jej  terenie  nie  przekraczały  poziomu  celu długoterminowego, </w:t>
      </w:r>
    </w:p>
    <w:p>
      <w:pPr>
        <w:pStyle w:val="NormalWeb"/>
        <w:numPr>
          <w:ilvl w:val="0"/>
          <w:numId w:val="74"/>
        </w:numPr>
        <w:spacing w:beforeAutospacing="0" w:before="0" w:afterAutospacing="0" w:after="0"/>
        <w:ind w:left="709" w:hanging="312"/>
        <w:rPr/>
      </w:pPr>
      <w:r>
        <w:rPr/>
        <w:t>D2 – jeżeli stężenia ozonu na jej terenie przekraczały poziom celu długoterminowego.</w:t>
      </w:r>
    </w:p>
    <w:p>
      <w:pPr>
        <w:pStyle w:val="Normal"/>
        <w:rPr/>
      </w:pPr>
      <w:r>
        <w:rPr/>
        <w:t>Poniższa tabela prezentuje zestawienie wyników klasyfikacji stref według kryterium ochrony zdrowia w 2017 r.</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40</w:t>
      </w:r>
      <w:r>
        <w:fldChar w:fldCharType="end"/>
      </w:r>
      <w:r>
        <w:rPr/>
        <w:t>.</w:t>
      </w:r>
      <w:r>
        <w:rPr>
          <w:b w:val="false"/>
        </w:rPr>
        <w:t xml:space="preserve"> Zbiorcze zestawienie wyników klasyfikacji stref wg kryterium ochrony zdrowia w 2017 roku (źródło: „Szesnasta roczna ocena jakości powietrza w województwie śląskim obejmująca 2017 r.”,</w:t>
        <w:br/>
        <w:t>WIOŚ w Katowicach, kwiecień 2018 r.)</w:t>
      </w:r>
    </w:p>
    <w:p>
      <w:pPr>
        <w:pStyle w:val="NormalWeb"/>
        <w:spacing w:beforeAutospacing="0" w:before="0" w:afterAutospacing="0" w:after="0"/>
        <w:ind w:left="-142" w:hanging="0"/>
        <w:jc w:val="left"/>
        <w:rPr/>
      </w:pPr>
      <w:r>
        <w:rPr/>
        <w:drawing>
          <wp:inline distT="0" distB="0" distL="19050" distR="0">
            <wp:extent cx="6082665" cy="1097280"/>
            <wp:effectExtent l="0" t="0" r="0" b="0"/>
            <wp:docPr id="53" name="Obraz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61" descr=""/>
                    <pic:cNvPicPr>
                      <a:picLocks noChangeAspect="1" noChangeArrowheads="1"/>
                    </pic:cNvPicPr>
                  </pic:nvPicPr>
                  <pic:blipFill>
                    <a:blip r:embed="rId69"/>
                    <a:srcRect l="0" t="11855" r="0" b="0"/>
                    <a:stretch>
                      <a:fillRect/>
                    </a:stretch>
                  </pic:blipFill>
                  <pic:spPr bwMode="auto">
                    <a:xfrm>
                      <a:off x="0" y="0"/>
                      <a:ext cx="6082665" cy="1097280"/>
                    </a:xfrm>
                    <a:prstGeom prst="rect">
                      <a:avLst/>
                    </a:prstGeom>
                  </pic:spPr>
                </pic:pic>
              </a:graphicData>
            </a:graphic>
          </wp:inline>
        </w:drawing>
      </w:r>
    </w:p>
    <w:p>
      <w:pPr>
        <w:pStyle w:val="Normal"/>
        <w:spacing w:lineRule="auto" w:line="360"/>
        <w:rPr/>
      </w:pPr>
      <w:r>
        <w:rPr/>
      </w:r>
    </w:p>
    <w:p>
      <w:pPr>
        <w:pStyle w:val="Normal"/>
        <w:rPr/>
      </w:pPr>
      <w:r>
        <w:rPr/>
        <w:t>Z powyższego zestawienia wynika, że strefa śląska została zaklasyfikowana ze względu na ochronę zdrowia do klasy C dla następujących substancji, które będą emitowane z planowanej instalacji:</w:t>
      </w:r>
    </w:p>
    <w:p>
      <w:pPr>
        <w:pStyle w:val="NormalWeb"/>
        <w:numPr>
          <w:ilvl w:val="0"/>
          <w:numId w:val="74"/>
        </w:numPr>
        <w:spacing w:beforeAutospacing="0" w:before="0" w:afterAutospacing="0" w:after="0"/>
        <w:ind w:left="709" w:hanging="312"/>
        <w:rPr/>
      </w:pPr>
      <w:r>
        <w:rPr/>
        <w:t>pył PM10,</w:t>
      </w:r>
    </w:p>
    <w:p>
      <w:pPr>
        <w:pStyle w:val="NormalWeb"/>
        <w:numPr>
          <w:ilvl w:val="0"/>
          <w:numId w:val="74"/>
        </w:numPr>
        <w:spacing w:beforeAutospacing="0" w:before="0" w:afterAutospacing="0" w:after="0"/>
        <w:ind w:left="709" w:hanging="312"/>
        <w:rPr/>
      </w:pPr>
      <w:r>
        <w:rPr/>
        <w:t>pył PM2,5,</w:t>
      </w:r>
    </w:p>
    <w:p>
      <w:pPr>
        <w:pStyle w:val="NormalWeb"/>
        <w:numPr>
          <w:ilvl w:val="0"/>
          <w:numId w:val="74"/>
        </w:numPr>
        <w:spacing w:beforeAutospacing="0" w:before="0" w:afterAutospacing="0" w:after="0"/>
        <w:ind w:left="709" w:hanging="312"/>
        <w:rPr/>
      </w:pPr>
      <w:r>
        <w:rPr/>
        <w:t>dwutlenek siarki.</w:t>
      </w:r>
    </w:p>
    <w:p>
      <w:pPr>
        <w:pStyle w:val="Normal"/>
        <w:rPr/>
      </w:pPr>
      <w:r>
        <w:rPr/>
        <w:t xml:space="preserve">Według art. 225 ust. 1 </w:t>
      </w:r>
      <w:r>
        <w:rPr>
          <w:i/>
        </w:rPr>
        <w:t>ustawy Prawo ochrony środowiska</w:t>
      </w:r>
      <w:r>
        <w:rPr/>
        <w:t xml:space="preserve">, na obszarze, na którym zostały przekroczone standardy jakości powietrza, wyznaczonym w ocenie poziomów substancji w powietrzu, przeprowadzonej przez wojewódzkiego inspektora ochrony środowiska, wydanie pozwolenia na wprowadzanie do powietrza substancji, dla której standard jakości powietrza został przekroczony, z nowo budowanej instalacji jest możliwe, jeżeli zostanie zapewniona odpowiednia  redukcja ilości tej substancji wprowadzanej do powietrza z innych instalacji usytuowanych na obszarze gminy, w której planowana jest budowa nowej instalacji. </w:t>
      </w:r>
    </w:p>
    <w:p>
      <w:pPr>
        <w:pStyle w:val="Normal"/>
        <w:rPr/>
      </w:pPr>
      <w:r>
        <w:rPr/>
        <w:t>Oznacza to, że w celu uzyskania pozwolenia na wprowadzanie gazów lub pyłów dla instalacji, Inwestor będzie musiał dla ww. substancji przeprowadzić postępowanie kompensacyjne.</w:t>
      </w:r>
    </w:p>
    <w:p>
      <w:pPr>
        <w:pStyle w:val="Normal"/>
        <w:rPr/>
      </w:pPr>
      <w:r>
        <w:rPr/>
      </w:r>
    </w:p>
    <w:p>
      <w:pPr>
        <w:pStyle w:val="Nagwek3"/>
        <w:numPr>
          <w:ilvl w:val="2"/>
          <w:numId w:val="2"/>
        </w:numPr>
        <w:ind w:hanging="851"/>
        <w:rPr/>
      </w:pPr>
      <w:bookmarkStart w:id="115" w:name="_Toc518331350"/>
      <w:bookmarkEnd w:id="115"/>
      <w:r>
        <w:rPr/>
        <w:t>Oddziaływanie na klimat akustyczny</w:t>
      </w:r>
    </w:p>
    <w:p>
      <w:pPr>
        <w:pStyle w:val="Nagwek4"/>
        <w:numPr>
          <w:ilvl w:val="3"/>
          <w:numId w:val="2"/>
        </w:numPr>
        <w:ind w:hanging="992"/>
        <w:rPr/>
      </w:pPr>
      <w:bookmarkStart w:id="116" w:name="_Toc515353849"/>
      <w:r>
        <w:rPr/>
        <w:t xml:space="preserve"> </w:t>
      </w:r>
      <w:bookmarkEnd w:id="116"/>
      <w:r>
        <w:rPr/>
        <w:t>Lokalizacja zakładu w miejscowym planie zagospodarowania przestrzennego</w:t>
      </w:r>
    </w:p>
    <w:p>
      <w:pPr>
        <w:pStyle w:val="Normal"/>
        <w:rPr/>
      </w:pPr>
      <w:r>
        <w:rPr/>
        <w:t>Teren planowanej inwestycji oraz tereny sąsiadujące objęte są Miejscowym planem zagospodarowania przestrzennego Miasta Żywca (Uchwała Nr LIII/377/2013 Rady Miejskiej</w:t>
        <w:br/>
        <w:t>w Żywcu z dnia 28 listopada 2013 r.).</w:t>
      </w:r>
    </w:p>
    <w:p>
      <w:pPr>
        <w:pStyle w:val="Normal"/>
        <w:rPr/>
      </w:pPr>
      <w:r>
        <w:rPr/>
        <w:t>Według Planu w otoczeniu planowanej inwestycji znajdują się następujące tereny chronione akustycznie:</w:t>
      </w:r>
    </w:p>
    <w:p>
      <w:pPr>
        <w:pStyle w:val="NormalWeb"/>
        <w:numPr>
          <w:ilvl w:val="0"/>
          <w:numId w:val="74"/>
        </w:numPr>
        <w:spacing w:beforeAutospacing="0" w:before="0" w:afterAutospacing="0" w:after="0"/>
        <w:ind w:left="709" w:hanging="312"/>
        <w:rPr/>
      </w:pPr>
      <w:r>
        <w:rPr/>
        <w:t>MN2 – tereny zabudowy mieszkaniowej jednorodzinnej z usługami w budynkach oraz wolnostojącymi, w odległości około 270 m na wschód od granicy terenu inwestycji,</w:t>
      </w:r>
    </w:p>
    <w:p>
      <w:pPr>
        <w:pStyle w:val="NormalWeb"/>
        <w:numPr>
          <w:ilvl w:val="0"/>
          <w:numId w:val="74"/>
        </w:numPr>
        <w:spacing w:beforeAutospacing="0" w:before="0" w:afterAutospacing="0" w:after="0"/>
        <w:ind w:left="709" w:hanging="312"/>
        <w:rPr/>
      </w:pPr>
      <w:r>
        <w:rPr/>
        <w:t>MW2 – tereny zabudowy mieszkaniowej wielorodzinnej, w odległości około 260 m na wschód od granicy terenu inwestycji.</w:t>
      </w:r>
    </w:p>
    <w:p>
      <w:pPr>
        <w:pStyle w:val="Normal"/>
        <w:rPr/>
      </w:pPr>
      <w:r>
        <w:rPr/>
        <w:t>Zgodnie z §5 Planu, w aspekcie ochrony przed hałasem tereny oznaczone symbolem MN2 należy traktować jako tereny zabudowy mieszkaniowej jednorodzinnej.</w:t>
      </w:r>
    </w:p>
    <w:p>
      <w:pPr>
        <w:pStyle w:val="Normal"/>
        <w:rPr/>
      </w:pPr>
      <w:r>
        <w:rPr/>
        <w:t xml:space="preserve">Dla wymienionych terenów obowiązują następujące dopuszczalne poziomy hałasu (na podstawie Rozporządzenia Ministra Środowiska z dnia 14 czerwca 2007 r. </w:t>
      </w:r>
      <w:r>
        <w:rPr>
          <w:i/>
        </w:rPr>
        <w:t xml:space="preserve">w sprawie dopuszczalnych poziomów hałasu w środowisku </w:t>
      </w:r>
      <w:r>
        <w:rPr/>
        <w:t>(Dz.U.2014, poz. 112).</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41</w:t>
      </w:r>
      <w:r>
        <w:fldChar w:fldCharType="end"/>
      </w:r>
      <w:r>
        <w:rPr/>
        <w:t>.</w:t>
      </w:r>
      <w:r>
        <w:rPr>
          <w:b w:val="false"/>
        </w:rPr>
        <w:t xml:space="preserve"> Dopuszczalne poziomy hałasu dla terenów chronionych akustycznie, znajdujących się</w:t>
        <w:br/>
        <w:t xml:space="preserve"> w otoczeniu terenu inwestycji</w:t>
      </w:r>
    </w:p>
    <w:tbl>
      <w:tblPr>
        <w:tblStyle w:val="Tabela-Siatka"/>
        <w:tblW w:w="9356" w:type="dxa"/>
        <w:jc w:val="left"/>
        <w:tblInd w:w="108" w:type="dxa"/>
        <w:tblCellMar>
          <w:top w:w="0" w:type="dxa"/>
          <w:left w:w="108" w:type="dxa"/>
          <w:bottom w:w="0" w:type="dxa"/>
          <w:right w:w="108" w:type="dxa"/>
        </w:tblCellMar>
        <w:tblLook w:firstRow="1" w:noVBand="0" w:lastRow="1" w:firstColumn="1" w:lastColumn="1" w:noHBand="0" w:val="01e0"/>
      </w:tblPr>
      <w:tblGrid>
        <w:gridCol w:w="3401"/>
        <w:gridCol w:w="2977"/>
        <w:gridCol w:w="2978"/>
      </w:tblGrid>
      <w:tr>
        <w:trPr/>
        <w:tc>
          <w:tcPr>
            <w:tcW w:w="3401" w:type="dxa"/>
            <w:vMerge w:val="restart"/>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Przeznaczenie terenu</w:t>
            </w:r>
          </w:p>
        </w:tc>
        <w:tc>
          <w:tcPr>
            <w:tcW w:w="5955" w:type="dxa"/>
            <w:gridSpan w:val="2"/>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Dopuszczalny poziom hałasu [dB]</w:t>
            </w:r>
          </w:p>
        </w:tc>
      </w:tr>
      <w:tr>
        <w:trPr/>
        <w:tc>
          <w:tcPr>
            <w:tcW w:w="3401" w:type="dxa"/>
            <w:vMerge w:val="continue"/>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r>
          </w:p>
        </w:tc>
        <w:tc>
          <w:tcPr>
            <w:tcW w:w="2977"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dla przedziału czasu odniesienia równego 8 najmniej korzystnym godzinom dnia kolejno po sobie następującym</w:t>
            </w:r>
          </w:p>
        </w:tc>
        <w:tc>
          <w:tcPr>
            <w:tcW w:w="2978"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dla przedziału czasu odniesienia równego 1 najmniej korzystnej godzinie nocy</w:t>
            </w:r>
          </w:p>
        </w:tc>
      </w:tr>
      <w:tr>
        <w:trPr/>
        <w:tc>
          <w:tcPr>
            <w:tcW w:w="3401" w:type="dxa"/>
            <w:tcBorders/>
            <w:shd w:fill="auto" w:val="clear"/>
            <w:tcMar>
              <w:left w:w="108" w:type="dxa"/>
            </w:tcMar>
            <w:vAlign w:val="center"/>
          </w:tcPr>
          <w:p>
            <w:pPr>
              <w:pStyle w:val="Normal"/>
              <w:spacing w:lineRule="auto" w:line="240" w:before="40" w:after="40"/>
              <w:ind w:left="397" w:hanging="0"/>
              <w:jc w:val="left"/>
              <w:rPr>
                <w:rFonts w:ascii="Arial" w:hAnsi="Arial" w:cs="Arial"/>
                <w:sz w:val="18"/>
                <w:szCs w:val="22"/>
              </w:rPr>
            </w:pPr>
            <w:r>
              <w:rPr>
                <w:rFonts w:cs="Arial" w:ascii="Arial" w:hAnsi="Arial"/>
                <w:sz w:val="18"/>
                <w:szCs w:val="22"/>
              </w:rPr>
              <w:t>MN2 – tereny zabudowy mieszkaniowej jednorodzinnej z usługami w budynkach oraz wolnostojącymi</w:t>
            </w:r>
          </w:p>
        </w:tc>
        <w:tc>
          <w:tcPr>
            <w:tcW w:w="2977"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50</w:t>
            </w:r>
          </w:p>
        </w:tc>
        <w:tc>
          <w:tcPr>
            <w:tcW w:w="2978"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40</w:t>
            </w:r>
          </w:p>
        </w:tc>
      </w:tr>
      <w:tr>
        <w:trPr/>
        <w:tc>
          <w:tcPr>
            <w:tcW w:w="3401" w:type="dxa"/>
            <w:tcBorders/>
            <w:shd w:fill="auto" w:val="clear"/>
            <w:tcMar>
              <w:left w:w="108" w:type="dxa"/>
            </w:tcMar>
            <w:vAlign w:val="center"/>
          </w:tcPr>
          <w:p>
            <w:pPr>
              <w:pStyle w:val="Normal"/>
              <w:spacing w:lineRule="auto" w:line="240" w:before="40" w:after="40"/>
              <w:ind w:left="397" w:hanging="0"/>
              <w:jc w:val="left"/>
              <w:rPr>
                <w:rFonts w:ascii="Arial" w:hAnsi="Arial" w:cs="Arial"/>
                <w:sz w:val="18"/>
                <w:szCs w:val="22"/>
              </w:rPr>
            </w:pPr>
            <w:r>
              <w:rPr>
                <w:rFonts w:cs="Arial" w:ascii="Arial" w:hAnsi="Arial"/>
                <w:sz w:val="18"/>
                <w:szCs w:val="22"/>
              </w:rPr>
              <w:t>MW2 – tereny zabudowy mieszkaniowej wielorodzinnej</w:t>
            </w:r>
          </w:p>
        </w:tc>
        <w:tc>
          <w:tcPr>
            <w:tcW w:w="2977"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55</w:t>
            </w:r>
          </w:p>
        </w:tc>
        <w:tc>
          <w:tcPr>
            <w:tcW w:w="2978" w:type="dxa"/>
            <w:tcBorders/>
            <w:shd w:fill="auto" w:val="clear"/>
            <w:tcMar>
              <w:left w:w="108" w:type="dxa"/>
            </w:tcMar>
            <w:vAlign w:val="center"/>
          </w:tcPr>
          <w:p>
            <w:pPr>
              <w:pStyle w:val="Normal"/>
              <w:keepNext/>
              <w:spacing w:lineRule="auto" w:line="240" w:before="40" w:after="40"/>
              <w:ind w:left="397" w:hanging="0"/>
              <w:jc w:val="center"/>
              <w:rPr>
                <w:rFonts w:ascii="Arial" w:hAnsi="Arial" w:cs="Arial"/>
                <w:sz w:val="18"/>
                <w:szCs w:val="22"/>
              </w:rPr>
            </w:pPr>
            <w:r>
              <w:rPr>
                <w:rFonts w:cs="Arial" w:ascii="Arial" w:hAnsi="Arial"/>
                <w:sz w:val="18"/>
                <w:szCs w:val="22"/>
              </w:rPr>
              <w:t>45</w:t>
            </w:r>
          </w:p>
        </w:tc>
      </w:tr>
    </w:tbl>
    <w:p>
      <w:pPr>
        <w:pStyle w:val="Normal"/>
        <w:spacing w:lineRule="auto" w:line="360"/>
        <w:rPr/>
      </w:pPr>
      <w:r>
        <w:rPr/>
      </w:r>
    </w:p>
    <w:p>
      <w:pPr>
        <w:pStyle w:val="Normal"/>
        <w:rPr/>
      </w:pPr>
      <w:r>
        <w:rPr/>
        <w:t xml:space="preserve">Lokalizację planowanej inwestycji na tle terenów chronionych akustycznie przedstawia  poniższy rysunek. </w:t>
      </w:r>
    </w:p>
    <w:p>
      <w:pPr>
        <w:pStyle w:val="Normal"/>
        <w:rPr/>
      </w:pPr>
      <w:r>
        <w:rPr/>
      </w:r>
    </w:p>
    <w:p>
      <w:pPr>
        <w:pStyle w:val="APODPISTABELI"/>
        <w:keepNext/>
        <w:rPr/>
      </w:pPr>
      <w:r>
        <w:rPr/>
        <w:drawing>
          <wp:inline distT="0" distB="0" distL="0" distR="0">
            <wp:extent cx="5351145" cy="4008120"/>
            <wp:effectExtent l="0" t="0" r="0" b="0"/>
            <wp:docPr id="54" name="Obraz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8" descr=""/>
                    <pic:cNvPicPr>
                      <a:picLocks noChangeAspect="1" noChangeArrowheads="1"/>
                    </pic:cNvPicPr>
                  </pic:nvPicPr>
                  <pic:blipFill>
                    <a:blip r:embed="rId70"/>
                    <a:stretch>
                      <a:fillRect/>
                    </a:stretch>
                  </pic:blipFill>
                  <pic:spPr bwMode="auto">
                    <a:xfrm>
                      <a:off x="0" y="0"/>
                      <a:ext cx="5351145" cy="400812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36</w:t>
      </w:r>
      <w:r>
        <w:fldChar w:fldCharType="end"/>
      </w:r>
      <w:r>
        <w:rPr/>
        <w:t>.</w:t>
      </w:r>
      <w:r>
        <w:rPr>
          <w:b w:val="false"/>
        </w:rPr>
        <w:t xml:space="preserve"> Lokalizacja terenu inwestycji względem terenów chronionych akustycznie</w:t>
      </w:r>
    </w:p>
    <w:p>
      <w:pPr>
        <w:pStyle w:val="Normal"/>
        <w:rPr/>
      </w:pPr>
      <w:r>
        <w:rPr/>
      </w:r>
    </w:p>
    <w:p>
      <w:pPr>
        <w:pStyle w:val="Nagwek4"/>
        <w:numPr>
          <w:ilvl w:val="3"/>
          <w:numId w:val="2"/>
        </w:numPr>
        <w:ind w:hanging="992"/>
        <w:rPr/>
      </w:pPr>
      <w:bookmarkStart w:id="117" w:name="_Toc515353850"/>
      <w:bookmarkEnd w:id="117"/>
      <w:r>
        <w:rPr/>
        <w:t>Stacjonarne źródła hałasu</w:t>
      </w:r>
    </w:p>
    <w:p>
      <w:pPr>
        <w:pStyle w:val="Nagwek5"/>
        <w:numPr>
          <w:ilvl w:val="4"/>
          <w:numId w:val="2"/>
        </w:numPr>
        <w:ind w:hanging="1077"/>
        <w:rPr/>
      </w:pPr>
      <w:bookmarkStart w:id="118" w:name="_Toc515353851"/>
      <w:r>
        <w:rPr/>
        <w:t xml:space="preserve"> </w:t>
      </w:r>
      <w:bookmarkEnd w:id="118"/>
      <w:r>
        <w:rPr/>
        <w:t>Źródła typu budynek</w:t>
      </w:r>
    </w:p>
    <w:p>
      <w:pPr>
        <w:pStyle w:val="Normal"/>
        <w:rPr/>
      </w:pPr>
      <w:r>
        <w:rPr/>
        <w:t xml:space="preserve">Jako źródła typu budynek potraktowano magazyn oraz halę instalacji RDF. </w:t>
      </w:r>
    </w:p>
    <w:p>
      <w:pPr>
        <w:pStyle w:val="Normal"/>
        <w:rPr/>
      </w:pPr>
      <w:r>
        <w:rPr/>
        <w:t>W budynkach będą zlokalizowane dwie linie technologiczne o łącznej mocy użytkowej 5 MW. W budynku magazynu będzie zlokalizowany zespół załadowczy paliwa, pozostałe elementy instalacji będą się znajdowały w hali instalacji RDF.</w:t>
      </w:r>
    </w:p>
    <w:p>
      <w:pPr>
        <w:pStyle w:val="Normal"/>
        <w:rPr/>
      </w:pPr>
      <w:r>
        <w:rPr/>
        <w:t>Rysunek 37 przedstawia rozmieszczenie urządzeń wewnątrz obu pomieszczeń.</w:t>
      </w:r>
    </w:p>
    <w:p>
      <w:pPr>
        <w:pStyle w:val="Tretekstu"/>
        <w:spacing w:before="0" w:after="60"/>
        <w:ind w:hanging="0"/>
        <w:jc w:val="left"/>
        <w:rPr>
          <w:b/>
          <w:b/>
          <w:u w:val="single"/>
        </w:rPr>
      </w:pPr>
      <w:r>
        <w:rPr>
          <w:b/>
          <w:u w:val="single"/>
        </w:rPr>
      </w:r>
    </w:p>
    <w:p>
      <w:pPr>
        <w:pStyle w:val="Tretekstu"/>
        <w:spacing w:before="0" w:after="60"/>
        <w:ind w:hanging="0"/>
        <w:jc w:val="left"/>
        <w:rPr>
          <w:b/>
          <w:b/>
          <w:u w:val="single"/>
        </w:rPr>
      </w:pPr>
      <w:r>
        <w:rPr>
          <w:b/>
          <w:u w:val="single"/>
        </w:rPr>
        <w:t>Magazyn</w:t>
      </w:r>
    </w:p>
    <w:p>
      <w:pPr>
        <w:pStyle w:val="Normal"/>
        <w:rPr/>
      </w:pPr>
      <w:r>
        <w:rPr/>
        <w:t xml:space="preserve">Paliwo alternatywne i odpady palne dostarczane będą  transportem samochodowym w naczepach z ruchomą podłogą. </w:t>
      </w:r>
    </w:p>
    <w:p>
      <w:pPr>
        <w:pStyle w:val="Normal"/>
        <w:rPr/>
      </w:pPr>
      <w:r>
        <w:rPr/>
        <w:t>Rozładunek paliwa będzie się odbywać do magazynu (składu paliwa) poprzez lej zasypowy, skąd za pomocą zamkniętego podajnika taśmowego paliwo będzie podawane do dozownika paliwa pieca rusztowego.</w:t>
      </w:r>
    </w:p>
    <w:p>
      <w:pPr>
        <w:pStyle w:val="Normal"/>
        <w:rPr/>
      </w:pPr>
      <w:r>
        <w:rPr/>
        <w:t>Źródło hałasu wewnątrz magazynu będzie stanowił rozładunek paliwa z samochodu ciężarowego do leja zasypowego.</w:t>
      </w:r>
    </w:p>
    <w:p>
      <w:pPr>
        <w:pStyle w:val="Normal"/>
        <w:rPr/>
      </w:pPr>
      <w:r>
        <w:rPr/>
        <w:t xml:space="preserve">Według danych Inwestora równoważny poziom dźwięku dla zespołu załadowczego pojedynczej linii technologicznej, odniesiony do 8 najmniej korzystnych godzin dnia oraz 1 najmniej korzystnej godziny nocy (urządzenia będą pracować w takim samym trybie zarówno </w:t>
        <w:br/>
        <w:t>w porze dnia jak i w porze nocy, w związku z tym nie wprowadzano rozróżnienia na równoważny poziom dźwięku dla pory dnia i dla pory nocy) wynosi 48 dB. W magazynie będą znajdować się zespoły załadowcze dwóch linii technologicznych, zatem równoważny poziom dźwięku od zespołów załadowczych obu linii będzie wynosić:</w:t>
      </w:r>
    </w:p>
    <w:p>
      <w:pPr>
        <w:pStyle w:val="NormalWeb"/>
        <w:spacing w:beforeAutospacing="0" w:before="120" w:afterAutospacing="0" w:after="120"/>
        <w:rPr/>
      </w:pPr>
      <w:r>
        <w:rPr/>
      </w:r>
      <m:oMath xmlns:m="http://schemas.openxmlformats.org/officeDocument/2006/math">
        <m:r>
          <w:rPr>
            <w:rFonts w:ascii="Cambria Math" w:hAnsi="Cambria Math"/>
          </w:rPr>
          <m:t xml:space="preserve">L</m:t>
        </m:r>
        <m:r>
          <w:rPr>
            <w:rFonts w:ascii="Cambria Math" w:hAnsi="Cambria Math"/>
          </w:rPr>
          <m:t xml:space="preserve">=</m:t>
        </m:r>
        <m:r>
          <m:rPr>
            <m:lit/>
            <m:nor/>
          </m:rPr>
          <w:rPr>
            <w:rFonts w:ascii="Cambria Math" w:hAnsi="Cambria Math"/>
          </w:rPr>
          <m:t xml:space="preserve">10</m:t>
        </m:r>
        <m:r>
          <m:t xml:space="preserve"> </m:t>
        </m:r>
        <m:r>
          <m:rPr>
            <m:lit/>
            <m:nor/>
          </m:rPr>
          <w:rPr>
            <w:rFonts w:ascii="Cambria Math" w:hAnsi="Cambria Math"/>
          </w:rPr>
          <m:t xml:space="preserve">log</m:t>
        </m:r>
        <m:r>
          <m:t xml:space="preserve"> </m:t>
        </m:r>
        <m:r>
          <w:rPr>
            <w:rFonts w:ascii="Cambria Math" w:hAnsi="Cambria Math"/>
          </w:rPr>
          <m:t xml:space="preserve">(</m:t>
        </m:r>
        <m:sSup>
          <m:e>
            <m:r>
              <m:rPr>
                <m:lit/>
                <m:nor/>
              </m:rPr>
              <w:rPr>
                <w:rFonts w:ascii="Cambria Math" w:hAnsi="Cambria Math"/>
              </w:rPr>
              <m:t xml:space="preserve">10</m:t>
            </m:r>
          </m:e>
          <m:sup>
            <m:r>
              <w:rPr>
                <w:rFonts w:ascii="Cambria Math" w:hAnsi="Cambria Math"/>
              </w:rPr>
              <m:t xml:space="preserve">0,1</m:t>
            </m:r>
            <m:r>
              <m:t xml:space="preserve"> </m:t>
            </m:r>
            <m:r>
              <w:rPr>
                <w:rFonts w:ascii="Cambria Math" w:hAnsi="Cambria Math"/>
              </w:rPr>
              <m:t xml:space="preserve">×</m:t>
            </m:r>
            <m:r>
              <m:t xml:space="preserve"> </m:t>
            </m:r>
            <m:r>
              <w:rPr>
                <w:rFonts w:ascii="Cambria Math" w:hAnsi="Cambria Math"/>
              </w:rPr>
              <m:t xml:space="preserve">L</m:t>
            </m:r>
            <m:r>
              <w:rPr>
                <w:rFonts w:ascii="Cambria Math" w:hAnsi="Cambria Math"/>
              </w:rPr>
              <m:t xml:space="preserve">1</m:t>
            </m:r>
          </m:sup>
        </m:sSup>
        <m:r>
          <w:rPr>
            <w:rFonts w:ascii="Cambria Math" w:hAnsi="Cambria Math"/>
          </w:rPr>
          <m:t xml:space="preserve">+</m:t>
        </m:r>
        <m:sSup>
          <m:e>
            <m:r>
              <m:rPr>
                <m:lit/>
                <m:nor/>
              </m:rPr>
              <w:rPr>
                <w:rFonts w:ascii="Cambria Math" w:hAnsi="Cambria Math"/>
              </w:rPr>
              <m:t xml:space="preserve">10</m:t>
            </m:r>
          </m:e>
          <m:sup>
            <m:r>
              <w:rPr>
                <w:rFonts w:ascii="Cambria Math" w:hAnsi="Cambria Math"/>
              </w:rPr>
              <m:t xml:space="preserve">0,1</m:t>
            </m:r>
            <m:r>
              <w:rPr>
                <w:rFonts w:ascii="Cambria Math" w:hAnsi="Cambria Math"/>
              </w:rPr>
              <m:t xml:space="preserve">×</m:t>
            </m:r>
            <m:r>
              <w:rPr>
                <w:rFonts w:ascii="Cambria Math" w:hAnsi="Cambria Math"/>
              </w:rPr>
              <m:t xml:space="preserve">L</m:t>
            </m:r>
            <m:r>
              <w:rPr>
                <w:rFonts w:ascii="Cambria Math" w:hAnsi="Cambria Math"/>
              </w:rPr>
              <m:t xml:space="preserve">2</m:t>
            </m:r>
          </m:sup>
        </m:sSup>
        <m:r>
          <w:rPr>
            <w:rFonts w:ascii="Cambria Math" w:hAnsi="Cambria Math"/>
          </w:rPr>
          <m:t xml:space="preserve">+</m:t>
        </m:r>
        <m:r>
          <m:rPr>
            <m:lit/>
            <m:nor/>
          </m:rPr>
          <w:rPr>
            <w:rFonts w:ascii="Cambria Math" w:hAnsi="Cambria Math"/>
          </w:rPr>
          <m:t xml:space="preserve">.</m:t>
        </m:r>
        <m:r>
          <m:rPr>
            <m:lit/>
            <m:nor/>
          </m:rPr>
          <w:rPr>
            <w:rFonts w:ascii="Cambria Math" w:hAnsi="Cambria Math"/>
          </w:rPr>
          <m:t xml:space="preserve">.</m:t>
        </m:r>
        <m:r>
          <m:rPr>
            <m:lit/>
            <m:nor/>
          </m:rPr>
          <w:rPr>
            <w:rFonts w:ascii="Cambria Math" w:hAnsi="Cambria Math"/>
          </w:rPr>
          <m:t xml:space="preserve">.</m:t>
        </m:r>
        <m:r>
          <w:rPr>
            <w:rFonts w:ascii="Cambria Math" w:hAnsi="Cambria Math"/>
          </w:rPr>
          <m:t xml:space="preserve">)</m:t>
        </m:r>
        <m:r>
          <m:t xml:space="preserve"> </m:t>
        </m:r>
        <m:r>
          <w:rPr>
            <w:rFonts w:ascii="Cambria Math" w:hAnsi="Cambria Math"/>
          </w:rPr>
          <m:t xml:space="preserve">[</m:t>
        </m:r>
        <m:r>
          <m:rPr>
            <m:lit/>
            <m:nor/>
          </m:rPr>
          <w:rPr>
            <w:rFonts w:ascii="Cambria Math" w:hAnsi="Cambria Math"/>
          </w:rPr>
          <m:t xml:space="preserve">dB</m:t>
        </m:r>
        <m:r>
          <w:rPr>
            <w:rFonts w:ascii="Cambria Math" w:hAnsi="Cambria Math"/>
          </w:rPr>
          <m:t xml:space="preserve">]</m:t>
        </m:r>
      </m:oMath>
    </w:p>
    <w:p>
      <w:pPr>
        <w:pStyle w:val="NormalWeb"/>
        <w:spacing w:beforeAutospacing="0" w:before="0" w:afterAutospacing="0" w:after="0"/>
        <w:rPr>
          <w:sz w:val="20"/>
        </w:rPr>
      </w:pPr>
      <w:r>
        <w:rPr>
          <w:sz w:val="20"/>
        </w:rPr>
        <w:t>Gdzie:</w:t>
      </w:r>
    </w:p>
    <w:p>
      <w:pPr>
        <w:pStyle w:val="NormalWeb"/>
        <w:spacing w:beforeAutospacing="0" w:before="0" w:afterAutospacing="0" w:after="0"/>
        <w:rPr>
          <w:sz w:val="20"/>
        </w:rPr>
      </w:pPr>
      <w:r>
        <w:rPr>
          <w:sz w:val="20"/>
        </w:rPr>
        <w:t>L – sumaryczny poziom dźwięku</w:t>
      </w:r>
    </w:p>
    <w:p>
      <w:pPr>
        <w:pStyle w:val="NormalWeb"/>
        <w:spacing w:beforeAutospacing="0" w:before="0" w:afterAutospacing="0" w:after="0"/>
        <w:rPr>
          <w:sz w:val="20"/>
        </w:rPr>
      </w:pPr>
      <w:r>
        <w:rPr>
          <w:sz w:val="20"/>
        </w:rPr>
        <w:t>L1 – poziom dźwięku pochodzący od źródła nr 1</w:t>
      </w:r>
    </w:p>
    <w:p>
      <w:pPr>
        <w:pStyle w:val="NormalWeb"/>
        <w:spacing w:beforeAutospacing="0" w:before="0" w:afterAutospacing="0" w:after="0"/>
        <w:rPr>
          <w:sz w:val="20"/>
        </w:rPr>
      </w:pPr>
      <w:r>
        <w:rPr>
          <w:sz w:val="20"/>
        </w:rPr>
        <w:t>L2 – poziom dźwięku pochodzący od źródła nr 2</w:t>
      </w:r>
    </w:p>
    <w:p>
      <w:pPr>
        <w:pStyle w:val="NormalWeb"/>
        <w:spacing w:beforeAutospacing="0" w:before="120" w:afterAutospacing="0" w:after="120"/>
        <w:rPr/>
      </w:pPr>
      <w:r>
        <w:rPr/>
      </w:r>
      <m:oMath xmlns:m="http://schemas.openxmlformats.org/officeDocument/2006/math">
        <m:r>
          <w:rPr>
            <w:rFonts w:ascii="Cambria Math" w:hAnsi="Cambria Math"/>
          </w:rPr>
          <m:t xml:space="preserve">L</m:t>
        </m:r>
        <m:r>
          <w:rPr>
            <w:rFonts w:ascii="Cambria Math" w:hAnsi="Cambria Math"/>
          </w:rPr>
          <m:t xml:space="preserve">=</m:t>
        </m:r>
        <m:r>
          <m:rPr>
            <m:lit/>
            <m:nor/>
          </m:rPr>
          <w:rPr>
            <w:rFonts w:ascii="Cambria Math" w:hAnsi="Cambria Math"/>
          </w:rPr>
          <m:t xml:space="preserve">10</m:t>
        </m:r>
        <m:r>
          <m:t xml:space="preserve"> </m:t>
        </m:r>
        <m:r>
          <m:rPr>
            <m:lit/>
            <m:nor/>
          </m:rPr>
          <w:rPr>
            <w:rFonts w:ascii="Cambria Math" w:hAnsi="Cambria Math"/>
          </w:rPr>
          <m:t xml:space="preserve">log</m:t>
        </m:r>
        <m:r>
          <m:t xml:space="preserve"> </m:t>
        </m:r>
        <m:r>
          <w:rPr>
            <w:rFonts w:ascii="Cambria Math" w:hAnsi="Cambria Math"/>
          </w:rPr>
          <m:t xml:space="preserve">(</m:t>
        </m:r>
        <m:sSup>
          <m:e>
            <m:r>
              <m:rPr>
                <m:lit/>
                <m:nor/>
              </m:rPr>
              <w:rPr>
                <w:rFonts w:ascii="Cambria Math" w:hAnsi="Cambria Math"/>
              </w:rPr>
              <m:t xml:space="preserve">10</m:t>
            </m:r>
          </m:e>
          <m:sup>
            <m:r>
              <w:rPr>
                <w:rFonts w:ascii="Cambria Math" w:hAnsi="Cambria Math"/>
              </w:rPr>
              <m:t xml:space="preserve">0,1</m:t>
            </m:r>
            <m:r>
              <m:t xml:space="preserve"> </m:t>
            </m:r>
            <m:r>
              <w:rPr>
                <w:rFonts w:ascii="Cambria Math" w:hAnsi="Cambria Math"/>
              </w:rPr>
              <m:t xml:space="preserve">×</m:t>
            </m:r>
            <m:r>
              <m:t xml:space="preserve"> </m:t>
            </m:r>
            <m:r>
              <m:rPr>
                <m:lit/>
                <m:nor/>
              </m:rPr>
              <w:rPr>
                <w:rFonts w:ascii="Cambria Math" w:hAnsi="Cambria Math"/>
              </w:rPr>
              <m:t xml:space="preserve">48</m:t>
            </m:r>
          </m:sup>
        </m:sSup>
        <m:r>
          <w:rPr>
            <w:rFonts w:ascii="Cambria Math" w:hAnsi="Cambria Math"/>
          </w:rPr>
          <m:t xml:space="preserve">+</m:t>
        </m:r>
        <m:sSup>
          <m:e>
            <m:r>
              <m:rPr>
                <m:lit/>
                <m:nor/>
              </m:rPr>
              <w:rPr>
                <w:rFonts w:ascii="Cambria Math" w:hAnsi="Cambria Math"/>
              </w:rPr>
              <m:t xml:space="preserve">10</m:t>
            </m:r>
          </m:e>
          <m:sup>
            <m:r>
              <w:rPr>
                <w:rFonts w:ascii="Cambria Math" w:hAnsi="Cambria Math"/>
              </w:rPr>
              <m:t xml:space="preserve">0,1</m:t>
            </m:r>
            <m:r>
              <w:rPr>
                <w:rFonts w:ascii="Cambria Math" w:hAnsi="Cambria Math"/>
              </w:rPr>
              <m:t xml:space="preserve">×</m:t>
            </m:r>
            <m:r>
              <m:rPr>
                <m:lit/>
                <m:nor/>
              </m:rPr>
              <w:rPr>
                <w:rFonts w:ascii="Cambria Math" w:hAnsi="Cambria Math"/>
              </w:rPr>
              <m:t xml:space="preserve">48</m:t>
            </m:r>
          </m:sup>
        </m:sSup>
        <m:r>
          <w:rPr>
            <w:rFonts w:ascii="Cambria Math" w:hAnsi="Cambria Math"/>
          </w:rPr>
          <m:t xml:space="preserve">)</m:t>
        </m:r>
        <m:r>
          <w:rPr>
            <w:rFonts w:ascii="Cambria Math" w:hAnsi="Cambria Math"/>
          </w:rPr>
          <m:t xml:space="preserve">=</m:t>
        </m:r>
        <m:r>
          <m:rPr>
            <m:lit/>
            <m:nor/>
          </m:rPr>
          <w:rPr>
            <w:rFonts w:ascii="Cambria Math" w:hAnsi="Cambria Math"/>
          </w:rPr>
          <m:t xml:space="preserve">51</m:t>
        </m:r>
        <m:r>
          <m:t xml:space="preserve"> </m:t>
        </m:r>
        <m:r>
          <w:rPr>
            <w:rFonts w:ascii="Cambria Math" w:hAnsi="Cambria Math"/>
          </w:rPr>
          <m:t xml:space="preserve">[</m:t>
        </m:r>
        <m:r>
          <m:rPr>
            <m:lit/>
            <m:nor/>
          </m:rPr>
          <w:rPr>
            <w:rFonts w:ascii="Cambria Math" w:hAnsi="Cambria Math"/>
          </w:rPr>
          <m:t xml:space="preserve">dB</m:t>
        </m:r>
        <m:r>
          <w:rPr>
            <w:rFonts w:ascii="Cambria Math" w:hAnsi="Cambria Math"/>
          </w:rPr>
          <m:t xml:space="preserve">]</m:t>
        </m:r>
      </m:oMath>
    </w:p>
    <w:p>
      <w:pPr>
        <w:pStyle w:val="Normal"/>
        <w:rPr/>
      </w:pPr>
      <w:r>
        <w:rPr/>
        <w:t xml:space="preserve">Dla bezpieczeństwa do obliczeń przyjęto wyższy poziom hałasu wewnątrz pomieszczenia, równy </w:t>
      </w:r>
      <w:r>
        <w:rPr>
          <w:b/>
        </w:rPr>
        <w:t>70 dB</w:t>
      </w:r>
      <w:r>
        <w:rPr/>
        <w:t>.</w:t>
      </w:r>
    </w:p>
    <w:p>
      <w:pPr>
        <w:pStyle w:val="Normal"/>
        <w:rPr/>
      </w:pPr>
      <w:r>
        <w:rPr/>
        <w:t xml:space="preserve">Wysokość magazynu paliwa to </w:t>
      </w:r>
      <w:r>
        <w:rPr>
          <w:b/>
        </w:rPr>
        <w:t>7 m</w:t>
      </w:r>
      <w:r>
        <w:rPr/>
        <w:t>.</w:t>
      </w:r>
    </w:p>
    <w:p>
      <w:pPr>
        <w:pStyle w:val="Normal"/>
        <w:rPr/>
      </w:pPr>
      <w:r>
        <w:rPr/>
        <w:t>Ściany zewnętrzne zostaną wykonane z płyt warstwowych z rdzeniem ze sztywnej pianki</w:t>
        <w:br/>
        <w:t xml:space="preserve">o izolacyjności akustycznej </w:t>
      </w:r>
      <w:r>
        <w:rPr>
          <w:b/>
        </w:rPr>
        <w:t>24 dB</w:t>
      </w:r>
      <w:r>
        <w:rPr/>
        <w:t>.</w:t>
      </w:r>
    </w:p>
    <w:p>
      <w:pPr>
        <w:pStyle w:val="Normal"/>
        <w:rPr/>
      </w:pPr>
      <w:r>
        <w:rPr/>
        <w:t xml:space="preserve">Dach zostanie wykonany z blachy trapezowej oraz pianki PIR, pokrytej membraną. Izolacyjność akustyczna dachu będzie wynosić </w:t>
      </w:r>
      <w:r>
        <w:rPr>
          <w:b/>
        </w:rPr>
        <w:t>21 dB</w:t>
      </w:r>
      <w:r>
        <w:rPr/>
        <w:t>.</w:t>
      </w:r>
    </w:p>
    <w:p>
      <w:pPr>
        <w:pStyle w:val="Normal"/>
        <w:rPr/>
      </w:pPr>
      <w:r>
        <w:rPr/>
        <w:t xml:space="preserve">Źródło oznaczono w programie HPZ2011 symbolem </w:t>
      </w:r>
      <w:r>
        <w:rPr>
          <w:b/>
        </w:rPr>
        <w:t>B1</w:t>
      </w:r>
      <w:r>
        <w:rPr/>
        <w:t>.</w:t>
      </w:r>
    </w:p>
    <w:p>
      <w:pPr>
        <w:pStyle w:val="Normal"/>
        <w:spacing w:lineRule="auto" w:line="360"/>
        <w:rPr/>
      </w:pPr>
      <w:r>
        <w:rPr/>
      </w:r>
    </w:p>
    <w:p>
      <w:pPr>
        <w:pStyle w:val="NormalWeb"/>
        <w:spacing w:beforeAutospacing="0" w:before="0" w:afterAutospacing="0" w:after="0"/>
        <w:ind w:hanging="0"/>
        <w:jc w:val="center"/>
        <w:rPr>
          <w:b/>
          <w:b/>
          <w:color w:val="0000FF"/>
        </w:rPr>
      </w:pPr>
      <w:r>
        <w:rPr/>
        <w:drawing>
          <wp:inline distT="0" distB="0" distL="0" distR="0">
            <wp:extent cx="5822950" cy="5526405"/>
            <wp:effectExtent l="0" t="0" r="0" b="0"/>
            <wp:docPr id="55" name="Obraz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9" descr=""/>
                    <pic:cNvPicPr>
                      <a:picLocks noChangeAspect="1" noChangeArrowheads="1"/>
                    </pic:cNvPicPr>
                  </pic:nvPicPr>
                  <pic:blipFill>
                    <a:blip r:embed="rId71"/>
                    <a:stretch>
                      <a:fillRect/>
                    </a:stretch>
                  </pic:blipFill>
                  <pic:spPr bwMode="auto">
                    <a:xfrm>
                      <a:off x="0" y="0"/>
                      <a:ext cx="5822950" cy="552640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37</w:t>
      </w:r>
      <w:r>
        <w:fldChar w:fldCharType="end"/>
      </w:r>
      <w:r>
        <w:rPr/>
        <w:t>.</w:t>
      </w:r>
      <w:r>
        <w:rPr>
          <w:b w:val="false"/>
        </w:rPr>
        <w:t xml:space="preserve"> Rozmieszczenie urządzeń wewnątrz budynku</w:t>
      </w:r>
    </w:p>
    <w:p>
      <w:pPr>
        <w:pStyle w:val="Tretekstu"/>
        <w:spacing w:before="0" w:after="60"/>
        <w:ind w:hanging="0"/>
        <w:jc w:val="left"/>
        <w:rPr>
          <w:b/>
          <w:b/>
          <w:u w:val="single"/>
        </w:rPr>
      </w:pPr>
      <w:r>
        <w:rPr>
          <w:b/>
          <w:u w:val="single"/>
        </w:rPr>
        <w:t>Budynek instalacji RDF</w:t>
      </w:r>
    </w:p>
    <w:p>
      <w:pPr>
        <w:pStyle w:val="Normal"/>
        <w:rPr/>
      </w:pPr>
      <w:r>
        <w:rPr/>
        <w:t>W budynku będą zlokalizowane dwie linie technologiczne.</w:t>
      </w:r>
    </w:p>
    <w:p>
      <w:pPr>
        <w:pStyle w:val="Normal"/>
        <w:rPr/>
      </w:pPr>
      <w:r>
        <w:rPr/>
        <w:t>Poszczególne elementy instalacji, wchodzące w skład pojedynczej linii zostały przedstawione na rysunku nr 3 w rozdziale 2.4.1.</w:t>
      </w:r>
    </w:p>
    <w:p>
      <w:pPr>
        <w:pStyle w:val="Normal"/>
        <w:rPr>
          <w:szCs w:val="24"/>
        </w:rPr>
      </w:pPr>
      <w:r>
        <w:rPr>
          <w:szCs w:val="24"/>
        </w:rPr>
        <w:t xml:space="preserve">Według danych Inwestora, </w:t>
      </w:r>
      <w:r>
        <w:rPr>
          <w:szCs w:val="24"/>
          <w:u w:val="single"/>
        </w:rPr>
        <w:t>równoważny poziom dźwięku</w:t>
      </w:r>
      <w:r>
        <w:rPr>
          <w:szCs w:val="24"/>
        </w:rPr>
        <w:t xml:space="preserve"> dla poszczególnych źródeł, odniesiony do 8 najmniej korzystnych godzin dnia oraz 1 najmniej korzystnej godziny nocy (urządzenia </w:t>
      </w:r>
      <w:r>
        <w:rPr/>
        <w:t>będą</w:t>
      </w:r>
      <w:r>
        <w:rPr>
          <w:szCs w:val="24"/>
        </w:rPr>
        <w:t xml:space="preserve"> </w:t>
      </w:r>
      <w:r>
        <w:rPr/>
        <w:t>pracować</w:t>
      </w:r>
      <w:r>
        <w:rPr>
          <w:szCs w:val="24"/>
        </w:rPr>
        <w:t xml:space="preserve"> w takim samym trybie zarówno w porze dnia jak i w porze nocy, w związku z tym nie wprowadzano rozróżnienia na równoważny poziom dźwięku dla pory dnia i dla pory nocy) będzie wynosić:</w:t>
      </w:r>
    </w:p>
    <w:p>
      <w:pPr>
        <w:pStyle w:val="NormalWeb"/>
        <w:numPr>
          <w:ilvl w:val="0"/>
          <w:numId w:val="74"/>
        </w:numPr>
        <w:spacing w:beforeAutospacing="0" w:before="0" w:afterAutospacing="0" w:after="0"/>
        <w:ind w:left="709" w:hanging="312"/>
        <w:rPr/>
      </w:pPr>
      <w:r>
        <w:rPr/>
        <w:t>Piec rusztowy – komora spalania wraz z palnikiem rozpałkowym i układem nadmuchu powietrza</w:t>
      </w:r>
    </w:p>
    <w:p>
      <w:pPr>
        <w:pStyle w:val="NormalWeb"/>
        <w:numPr>
          <w:ilvl w:val="1"/>
          <w:numId w:val="74"/>
        </w:numPr>
        <w:spacing w:beforeAutospacing="0" w:before="0" w:afterAutospacing="0" w:after="0"/>
        <w:rPr/>
      </w:pPr>
      <w:r>
        <w:rPr/>
        <w:t>Piec rusztowy – 48 dB</w:t>
      </w:r>
    </w:p>
    <w:p>
      <w:pPr>
        <w:pStyle w:val="NormalWeb"/>
        <w:numPr>
          <w:ilvl w:val="1"/>
          <w:numId w:val="74"/>
        </w:numPr>
        <w:spacing w:beforeAutospacing="0" w:before="0" w:afterAutospacing="0" w:after="0"/>
        <w:rPr/>
      </w:pPr>
      <w:r>
        <w:rPr/>
        <w:t>Palnik – 65 dB</w:t>
      </w:r>
    </w:p>
    <w:p>
      <w:pPr>
        <w:pStyle w:val="NormalWeb"/>
        <w:numPr>
          <w:ilvl w:val="1"/>
          <w:numId w:val="74"/>
        </w:numPr>
        <w:spacing w:beforeAutospacing="0" w:before="0" w:afterAutospacing="0" w:after="0"/>
        <w:rPr/>
      </w:pPr>
      <w:r>
        <w:rPr/>
        <w:t>Wentylator – 70 dB</w:t>
      </w:r>
    </w:p>
    <w:p>
      <w:pPr>
        <w:pStyle w:val="NormalWeb"/>
        <w:numPr>
          <w:ilvl w:val="0"/>
          <w:numId w:val="74"/>
        </w:numPr>
        <w:spacing w:beforeAutospacing="0" w:before="0" w:afterAutospacing="0" w:after="0"/>
        <w:ind w:left="709" w:hanging="312"/>
        <w:rPr/>
      </w:pPr>
      <w:r>
        <w:rPr/>
        <w:t>Kocioł wodny – 70 dB</w:t>
      </w:r>
    </w:p>
    <w:p>
      <w:pPr>
        <w:pStyle w:val="NormalWeb"/>
        <w:numPr>
          <w:ilvl w:val="0"/>
          <w:numId w:val="74"/>
        </w:numPr>
        <w:spacing w:beforeAutospacing="0" w:before="0" w:afterAutospacing="0" w:after="0"/>
        <w:ind w:left="709" w:hanging="312"/>
        <w:rPr/>
      </w:pPr>
      <w:r>
        <w:rPr/>
        <w:t>Reaktor i system pneumatycznego dozowania wapna i węgla aktywnego – 2 x 60 dB</w:t>
      </w:r>
    </w:p>
    <w:p>
      <w:pPr>
        <w:pStyle w:val="NormalWeb"/>
        <w:numPr>
          <w:ilvl w:val="0"/>
          <w:numId w:val="74"/>
        </w:numPr>
        <w:spacing w:beforeAutospacing="0" w:before="0" w:afterAutospacing="0" w:after="0"/>
        <w:ind w:left="709" w:hanging="312"/>
        <w:rPr/>
      </w:pPr>
      <w:r>
        <w:rPr/>
        <w:t>Węzeł oczyszczania i neutralizacji spalin – 60 dB</w:t>
      </w:r>
    </w:p>
    <w:p>
      <w:pPr>
        <w:pStyle w:val="NormalWeb"/>
        <w:numPr>
          <w:ilvl w:val="0"/>
          <w:numId w:val="74"/>
        </w:numPr>
        <w:spacing w:beforeAutospacing="0" w:before="0" w:afterAutospacing="0" w:after="0"/>
        <w:ind w:left="709" w:hanging="312"/>
        <w:rPr/>
      </w:pPr>
      <w:r>
        <w:rPr/>
        <w:t>Wentylator wyciągowy spalin – 111 dB</w:t>
      </w:r>
    </w:p>
    <w:p>
      <w:pPr>
        <w:pStyle w:val="Normal"/>
        <w:rPr>
          <w:szCs w:val="24"/>
        </w:rPr>
      </w:pPr>
      <w:r>
        <w:rPr>
          <w:szCs w:val="24"/>
        </w:rPr>
        <w:t>Kartę katalogową wentylatora wyciągowego spalin, stanowiącego najbardziej istotne źródło dźwięku w instalacji, zamieszczono w załączniku nr 5.</w:t>
      </w:r>
    </w:p>
    <w:p>
      <w:pPr>
        <w:pStyle w:val="Normal"/>
        <w:rPr>
          <w:szCs w:val="24"/>
        </w:rPr>
      </w:pPr>
      <w:r>
        <w:rPr>
          <w:szCs w:val="24"/>
        </w:rPr>
        <w:t>Wentylator wyciągowy zostanie umieszczony w obudowie akustycznej, umożliwiającej obniżenie poziomu hałasu pochodzącego od wentylatora do 85 dB.</w:t>
      </w:r>
    </w:p>
    <w:p>
      <w:pPr>
        <w:pStyle w:val="Normal"/>
        <w:rPr>
          <w:rStyle w:val="H1"/>
        </w:rPr>
      </w:pPr>
      <w:r>
        <w:rPr/>
        <w:t xml:space="preserve">Do obliczeń przyjęto poziom hałasu wewnątrz budynku w odległości 1 m od ścian równy </w:t>
      </w:r>
      <w:r>
        <w:rPr>
          <w:b/>
        </w:rPr>
        <w:t>85 dB</w:t>
      </w:r>
      <w:r>
        <w:rPr/>
        <w:t xml:space="preserve"> – jest to dopuszczalna wartość poziomu ekspozycji na hałas, odniesionego do 8-godzinnego dobowego wymiaru czasu pracy, zapisana w </w:t>
      </w:r>
      <w:r>
        <w:rPr>
          <w:i/>
        </w:rPr>
        <w:t>Rozporządzeniu Ministra Pracy i Polityki Społecznej z dnia 6 czerwca 2014 r.</w:t>
      </w:r>
      <w:r>
        <w:rPr/>
        <w:t xml:space="preserve"> (</w:t>
      </w:r>
      <w:r>
        <w:rPr>
          <w:rStyle w:val="H1"/>
        </w:rPr>
        <w:t>Dz. U. 2014, poz. 817).</w:t>
      </w:r>
    </w:p>
    <w:p>
      <w:pPr>
        <w:pStyle w:val="Normal"/>
        <w:rPr/>
      </w:pPr>
      <w:r>
        <w:rPr/>
        <w:t xml:space="preserve">Ściany zewnętrzne hali zostaną wykonane z płyt warstwowych z rdzeniem ze sztywnej pianki o izolacyjności akustycznej  </w:t>
      </w:r>
      <w:r>
        <w:rPr>
          <w:b/>
        </w:rPr>
        <w:t>24 dB.</w:t>
      </w:r>
    </w:p>
    <w:p>
      <w:pPr>
        <w:pStyle w:val="Normal"/>
        <w:rPr/>
      </w:pPr>
      <w:r>
        <w:rPr/>
        <w:t xml:space="preserve">Dach zostanie wykonany z blachy trapezowej oraz pianki PIR, pokrytej membraną. Izolacyjność akustyczna dachu będzie wynosić </w:t>
      </w:r>
      <w:r>
        <w:rPr>
          <w:b/>
        </w:rPr>
        <w:t>21 dB</w:t>
      </w:r>
      <w:r>
        <w:rPr/>
        <w:t>.</w:t>
      </w:r>
    </w:p>
    <w:p>
      <w:pPr>
        <w:pStyle w:val="Normal"/>
        <w:rPr>
          <w:rStyle w:val="H1"/>
        </w:rPr>
      </w:pPr>
      <w:r>
        <w:rPr/>
        <w:t>Wysokość</w:t>
      </w:r>
      <w:r>
        <w:rPr>
          <w:rStyle w:val="H1"/>
        </w:rPr>
        <w:t xml:space="preserve"> hali to </w:t>
      </w:r>
      <w:r>
        <w:rPr>
          <w:rStyle w:val="H1"/>
          <w:b/>
        </w:rPr>
        <w:t>12,5 m.</w:t>
      </w:r>
    </w:p>
    <w:p>
      <w:pPr>
        <w:pStyle w:val="Normal"/>
        <w:rPr>
          <w:rStyle w:val="H1"/>
        </w:rPr>
      </w:pPr>
      <w:r>
        <w:rPr>
          <w:rStyle w:val="H1"/>
        </w:rPr>
        <w:t xml:space="preserve">Źródło </w:t>
      </w:r>
      <w:r>
        <w:rPr/>
        <w:t>oznaczono</w:t>
      </w:r>
      <w:r>
        <w:rPr>
          <w:rStyle w:val="H1"/>
        </w:rPr>
        <w:t xml:space="preserve"> w programie HPZ2011 symbolem </w:t>
      </w:r>
      <w:r>
        <w:rPr>
          <w:rStyle w:val="H1"/>
          <w:b/>
        </w:rPr>
        <w:t>B2.</w:t>
      </w:r>
    </w:p>
    <w:p>
      <w:pPr>
        <w:pStyle w:val="Normal"/>
        <w:spacing w:lineRule="auto" w:line="360"/>
        <w:rPr>
          <w:rStyle w:val="H1"/>
        </w:rPr>
      </w:pPr>
      <w:r>
        <w:rPr/>
      </w:r>
    </w:p>
    <w:p>
      <w:pPr>
        <w:pStyle w:val="Nagwek5"/>
        <w:numPr>
          <w:ilvl w:val="4"/>
          <w:numId w:val="2"/>
        </w:numPr>
        <w:ind w:hanging="1077"/>
        <w:rPr/>
      </w:pPr>
      <w:bookmarkStart w:id="119" w:name="_Toc515353852"/>
      <w:r>
        <w:rPr/>
        <w:t xml:space="preserve">  </w:t>
      </w:r>
      <w:bookmarkEnd w:id="119"/>
      <w:r>
        <w:rPr/>
        <w:t>Źródła punktowe</w:t>
      </w:r>
    </w:p>
    <w:p>
      <w:pPr>
        <w:pStyle w:val="Normal"/>
        <w:rPr/>
      </w:pPr>
      <w:r>
        <w:rPr/>
        <w:t>Wszystkie źródła hałasu, w  tym główny wentylator wyciągowy, będą zlokalizowane wewnątrz budynków. Nie będzie stacjonarnych zewnętrznych źródeł hałasu.</w:t>
      </w:r>
    </w:p>
    <w:p>
      <w:pPr>
        <w:pStyle w:val="Normal"/>
        <w:rPr/>
      </w:pPr>
      <w:r>
        <w:rPr/>
      </w:r>
    </w:p>
    <w:p>
      <w:pPr>
        <w:pStyle w:val="Nagwek4"/>
        <w:numPr>
          <w:ilvl w:val="3"/>
          <w:numId w:val="2"/>
        </w:numPr>
        <w:ind w:hanging="992"/>
        <w:rPr/>
      </w:pPr>
      <w:bookmarkStart w:id="120" w:name="_Toc515353853"/>
      <w:r>
        <w:rPr/>
        <w:t xml:space="preserve"> </w:t>
      </w:r>
      <w:bookmarkEnd w:id="120"/>
      <w:r>
        <w:rPr/>
        <w:t>Niestacjonarne źródła hałasu</w:t>
      </w:r>
    </w:p>
    <w:p>
      <w:pPr>
        <w:pStyle w:val="Normal"/>
        <w:rPr/>
      </w:pPr>
      <w:r>
        <w:rPr/>
        <w:t xml:space="preserve">Emisja hałasu, związana z transportem, będzie powstawać w wyniku poruszania się po terenie zakładu samochodów osobowych, dostawczych do 3,5 t oraz ciężarowych. Hałas emitowany przez ruch samochodowy jest hałasem przerywanym o zmiennym poziomie w czasie. Czas emisji jest różny, w zależności od natężenia ruchu i pory dnia. </w:t>
      </w:r>
    </w:p>
    <w:p>
      <w:pPr>
        <w:pStyle w:val="Normal"/>
        <w:rPr/>
      </w:pPr>
      <w:r>
        <w:rPr/>
        <w:t>Przewidywana struktura ruchu:</w:t>
      </w:r>
    </w:p>
    <w:p>
      <w:pPr>
        <w:pStyle w:val="Normal"/>
        <w:spacing w:before="120" w:after="0"/>
        <w:rPr>
          <w:i/>
          <w:i/>
        </w:rPr>
      </w:pPr>
      <w:r>
        <w:rPr>
          <w:i/>
        </w:rPr>
        <w:t>Samochody osobowe</w:t>
      </w:r>
    </w:p>
    <w:p>
      <w:pPr>
        <w:pStyle w:val="Normal"/>
        <w:rPr/>
      </w:pPr>
      <w:r>
        <w:rPr/>
        <w:t>Po 2 pracowników na zmianę (system czterobrygadowy) + 2 samochody z zewnątrz w dzień. Łącznie w ciągu doby – 10 samochodów osobowych.</w:t>
      </w:r>
    </w:p>
    <w:p>
      <w:pPr>
        <w:pStyle w:val="Normal"/>
        <w:spacing w:before="120" w:after="0"/>
        <w:rPr>
          <w:i/>
          <w:i/>
        </w:rPr>
      </w:pPr>
      <w:r>
        <w:rPr>
          <w:i/>
        </w:rPr>
        <w:t>Samochody dostawcze do 3,5 t</w:t>
      </w:r>
    </w:p>
    <w:p>
      <w:pPr>
        <w:pStyle w:val="Normal"/>
        <w:rPr/>
      </w:pPr>
      <w:r>
        <w:rPr/>
        <w:t>Samochód serwisowy, maksymalnie 1/dobę.</w:t>
      </w:r>
    </w:p>
    <w:p>
      <w:pPr>
        <w:pStyle w:val="Normal"/>
        <w:spacing w:before="120" w:after="0"/>
        <w:rPr>
          <w:i/>
          <w:i/>
        </w:rPr>
      </w:pPr>
      <w:r>
        <w:rPr>
          <w:i/>
        </w:rPr>
        <w:t>Samochody ciężarowe</w:t>
      </w:r>
    </w:p>
    <w:p>
      <w:pPr>
        <w:pStyle w:val="Normal"/>
        <w:spacing w:before="0" w:after="120"/>
        <w:rPr/>
      </w:pPr>
      <w:r>
        <w:rPr/>
        <w:t>Typowa ładowność naczepy z ruchomą podłogą typu TIR to 28 ton.</w:t>
      </w:r>
    </w:p>
    <w:p>
      <w:pPr>
        <w:pStyle w:val="Normal"/>
        <w:rPr/>
      </w:pPr>
      <w:r>
        <w:rPr/>
        <w:t>Maksymalna dobowa wydajność pojedynczej linii technologicznej o mocy 2,5 MW to 18 Mg paliwa alternatywnego/dobę. Przy dwóch liniach o mocy 2,5 MW maksymalna ilość odpadów przetwarzanych w instalacji w ciągu doby wyniesie 36 Mg.</w:t>
      </w:r>
    </w:p>
    <w:p>
      <w:pPr>
        <w:pStyle w:val="Normal"/>
        <w:rPr/>
      </w:pPr>
      <w:r>
        <w:rPr/>
        <w:t>Do przywiezienia wymienionej ilości odpadów na teren zakładu wystarczą dwa samochody TIR.</w:t>
      </w:r>
    </w:p>
    <w:p>
      <w:pPr>
        <w:pStyle w:val="Normal"/>
        <w:rPr/>
      </w:pPr>
      <w:r>
        <w:rPr/>
        <w:t>Dodatkowo okresowo będzie się odbywał wywóz popiołu i żużla z procesu spalania oraz wywóz pyłów z oczyszczania spalin, Będzie on realizowany pojazdami typu TIR. Przewiduje się maksymalnie jeden samochód ciężarowy na dobę, przeznaczony na ten cel.</w:t>
      </w:r>
    </w:p>
    <w:p>
      <w:pPr>
        <w:pStyle w:val="Normal"/>
        <w:rPr/>
      </w:pPr>
      <w:r>
        <w:rPr/>
        <w:t>Łącznie w ciągu doby – 3 samochody ciężarowe.</w:t>
      </w:r>
    </w:p>
    <w:p>
      <w:pPr>
        <w:pStyle w:val="Normal"/>
        <w:rPr/>
      </w:pPr>
      <w:r>
        <w:rPr/>
        <w:t>Ilości pojazdów przyjęte do obliczeń przedstawiono w poniższych tabelach:</w:t>
      </w:r>
    </w:p>
    <w:p>
      <w:pPr>
        <w:pStyle w:val="Normal"/>
        <w:rPr/>
      </w:pPr>
      <w:r>
        <w:rPr/>
      </w:r>
    </w:p>
    <w:p>
      <w:pPr>
        <w:pStyle w:val="Caption"/>
        <w:rPr/>
      </w:pPr>
      <w:r>
        <w:rPr/>
        <w:t xml:space="preserve">Tabela </w:t>
      </w:r>
      <w:r>
        <w:rPr/>
        <w:fldChar w:fldCharType="begin"/>
      </w:r>
      <w:r>
        <w:instrText> SEQ Tabela \* ARABIC </w:instrText>
      </w:r>
      <w:r>
        <w:fldChar w:fldCharType="separate"/>
      </w:r>
      <w:r>
        <w:t>42</w:t>
      </w:r>
      <w:r>
        <w:fldChar w:fldCharType="end"/>
      </w:r>
      <w:r>
        <w:rPr/>
        <w:t>.</w:t>
      </w:r>
      <w:r>
        <w:rPr>
          <w:b w:val="false"/>
        </w:rPr>
        <w:t xml:space="preserve"> Przewidywany ruch pojazdów osobowych i dostawczych do 3,5 t</w:t>
      </w:r>
    </w:p>
    <w:tbl>
      <w:tblPr>
        <w:tblW w:w="9498" w:type="dxa"/>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1985"/>
        <w:gridCol w:w="1180"/>
        <w:gridCol w:w="1584"/>
        <w:gridCol w:w="1583"/>
        <w:gridCol w:w="1583"/>
        <w:gridCol w:w="1582"/>
      </w:tblGrid>
      <w:tr>
        <w:trPr>
          <w:trHeight w:val="287" w:hRule="atLeast"/>
        </w:trPr>
        <w:tc>
          <w:tcPr>
            <w:tcW w:w="198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Pojazdy</w:t>
            </w:r>
          </w:p>
        </w:tc>
        <w:tc>
          <w:tcPr>
            <w:tcW w:w="118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Ruch dobowy [poj/dobę]</w:t>
            </w:r>
          </w:p>
        </w:tc>
        <w:tc>
          <w:tcPr>
            <w:tcW w:w="158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pora dnia</w:t>
            </w:r>
          </w:p>
          <w:p>
            <w:pPr>
              <w:pStyle w:val="Normal"/>
              <w:spacing w:before="40" w:after="40"/>
              <w:ind w:hanging="0"/>
              <w:jc w:val="center"/>
              <w:rPr>
                <w:rFonts w:ascii="Arial" w:hAnsi="Arial" w:cs="Arial"/>
                <w:b/>
                <w:b/>
                <w:sz w:val="18"/>
                <w:szCs w:val="22"/>
              </w:rPr>
            </w:pPr>
            <w:r>
              <w:rPr>
                <w:rFonts w:cs="Arial" w:ascii="Arial" w:hAnsi="Arial"/>
                <w:b/>
                <w:sz w:val="18"/>
                <w:szCs w:val="22"/>
              </w:rPr>
              <w:t>[6-22]</w:t>
            </w:r>
          </w:p>
        </w:tc>
        <w:tc>
          <w:tcPr>
            <w:tcW w:w="15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8 h  pory dnia</w:t>
            </w:r>
          </w:p>
        </w:tc>
        <w:tc>
          <w:tcPr>
            <w:tcW w:w="15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pora nocy</w:t>
            </w:r>
          </w:p>
          <w:p>
            <w:pPr>
              <w:pStyle w:val="Normal"/>
              <w:spacing w:before="40" w:after="40"/>
              <w:ind w:hanging="0"/>
              <w:jc w:val="center"/>
              <w:rPr>
                <w:rFonts w:ascii="Arial" w:hAnsi="Arial" w:cs="Arial"/>
                <w:b/>
                <w:b/>
                <w:sz w:val="18"/>
                <w:szCs w:val="22"/>
              </w:rPr>
            </w:pPr>
            <w:r>
              <w:rPr>
                <w:rFonts w:cs="Arial" w:ascii="Arial" w:hAnsi="Arial"/>
                <w:b/>
                <w:sz w:val="18"/>
                <w:szCs w:val="22"/>
              </w:rPr>
              <w:t>[22-6]</w:t>
            </w:r>
          </w:p>
        </w:tc>
        <w:tc>
          <w:tcPr>
            <w:tcW w:w="1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1 h  pory nocy</w:t>
            </w:r>
          </w:p>
        </w:tc>
      </w:tr>
      <w:tr>
        <w:trPr>
          <w:trHeight w:val="60" w:hRule="atLeast"/>
        </w:trPr>
        <w:tc>
          <w:tcPr>
            <w:tcW w:w="19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118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bottom"/>
          </w:tcPr>
          <w:p>
            <w:pPr>
              <w:pStyle w:val="Normal"/>
              <w:spacing w:before="40" w:after="40"/>
              <w:ind w:hanging="0"/>
              <w:rPr>
                <w:rFonts w:ascii="Arial" w:hAnsi="Arial" w:cs="Arial"/>
                <w:b/>
                <w:b/>
                <w:sz w:val="18"/>
                <w:szCs w:val="22"/>
              </w:rPr>
            </w:pPr>
            <w:r>
              <w:rPr>
                <w:rFonts w:cs="Arial" w:ascii="Arial" w:hAnsi="Arial"/>
                <w:b/>
                <w:sz w:val="18"/>
                <w:szCs w:val="22"/>
              </w:rPr>
            </w:r>
          </w:p>
        </w:tc>
        <w:tc>
          <w:tcPr>
            <w:tcW w:w="158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5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5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r>
      <w:tr>
        <w:trPr>
          <w:trHeight w:val="83" w:hRule="atLeast"/>
        </w:trPr>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samochody osobowe</w:t>
            </w:r>
          </w:p>
        </w:tc>
        <w:tc>
          <w:tcPr>
            <w:tcW w:w="118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11</w:t>
            </w:r>
          </w:p>
        </w:tc>
        <w:tc>
          <w:tcPr>
            <w:tcW w:w="158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9</w:t>
            </w:r>
          </w:p>
        </w:tc>
        <w:tc>
          <w:tcPr>
            <w:tcW w:w="15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themeFill="background1"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9</w:t>
            </w:r>
          </w:p>
        </w:tc>
        <w:tc>
          <w:tcPr>
            <w:tcW w:w="15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themeFill="background1"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w:t>
            </w:r>
          </w:p>
        </w:tc>
        <w:tc>
          <w:tcPr>
            <w:tcW w:w="1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themeFill="background1"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w:t>
            </w:r>
          </w:p>
        </w:tc>
      </w:tr>
    </w:tbl>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43</w:t>
      </w:r>
      <w:r>
        <w:fldChar w:fldCharType="end"/>
      </w:r>
      <w:r>
        <w:rPr/>
        <w:t>.</w:t>
      </w:r>
      <w:r>
        <w:rPr>
          <w:b w:val="false"/>
        </w:rPr>
        <w:t xml:space="preserve"> Przewidywany ruch pojazdów ciężarowych</w:t>
      </w:r>
    </w:p>
    <w:tbl>
      <w:tblPr>
        <w:tblW w:w="9528"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2015"/>
        <w:gridCol w:w="1161"/>
        <w:gridCol w:w="1588"/>
        <w:gridCol w:w="1589"/>
        <w:gridCol w:w="1588"/>
        <w:gridCol w:w="1586"/>
      </w:tblGrid>
      <w:tr>
        <w:trPr>
          <w:trHeight w:val="239" w:hRule="atLeast"/>
        </w:trPr>
        <w:tc>
          <w:tcPr>
            <w:tcW w:w="20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Pojazdy</w:t>
            </w:r>
          </w:p>
        </w:tc>
        <w:tc>
          <w:tcPr>
            <w:tcW w:w="116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Ruch dobowy [poj/dobę]</w:t>
            </w:r>
          </w:p>
        </w:tc>
        <w:tc>
          <w:tcPr>
            <w:tcW w:w="15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pora dnia</w:t>
            </w:r>
          </w:p>
          <w:p>
            <w:pPr>
              <w:pStyle w:val="Normal"/>
              <w:spacing w:before="40" w:after="40"/>
              <w:ind w:hanging="0"/>
              <w:jc w:val="center"/>
              <w:rPr>
                <w:rFonts w:ascii="Arial" w:hAnsi="Arial" w:cs="Arial"/>
                <w:b/>
                <w:b/>
                <w:sz w:val="18"/>
                <w:szCs w:val="22"/>
              </w:rPr>
            </w:pPr>
            <w:r>
              <w:rPr>
                <w:rFonts w:cs="Arial" w:ascii="Arial" w:hAnsi="Arial"/>
                <w:b/>
                <w:sz w:val="18"/>
                <w:szCs w:val="22"/>
              </w:rPr>
              <w:t>[6-22]</w:t>
            </w:r>
          </w:p>
        </w:tc>
        <w:tc>
          <w:tcPr>
            <w:tcW w:w="15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8 h  pory dnia</w:t>
            </w:r>
          </w:p>
        </w:tc>
        <w:tc>
          <w:tcPr>
            <w:tcW w:w="15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pora nocy</w:t>
            </w:r>
          </w:p>
          <w:p>
            <w:pPr>
              <w:pStyle w:val="Normal"/>
              <w:spacing w:before="40" w:after="40"/>
              <w:ind w:hanging="0"/>
              <w:jc w:val="center"/>
              <w:rPr>
                <w:rFonts w:ascii="Arial" w:hAnsi="Arial" w:cs="Arial"/>
                <w:b/>
                <w:b/>
                <w:sz w:val="18"/>
                <w:szCs w:val="22"/>
              </w:rPr>
            </w:pPr>
            <w:r>
              <w:rPr>
                <w:rFonts w:cs="Arial" w:ascii="Arial" w:hAnsi="Arial"/>
                <w:b/>
                <w:sz w:val="18"/>
                <w:szCs w:val="22"/>
              </w:rPr>
              <w:t>[22-6]</w:t>
            </w:r>
          </w:p>
        </w:tc>
        <w:tc>
          <w:tcPr>
            <w:tcW w:w="15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1 h  pory nocy</w:t>
            </w:r>
          </w:p>
        </w:tc>
      </w:tr>
      <w:tr>
        <w:trPr>
          <w:trHeight w:val="77" w:hRule="atLeast"/>
        </w:trPr>
        <w:tc>
          <w:tcPr>
            <w:tcW w:w="20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116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bottom"/>
          </w:tcPr>
          <w:p>
            <w:pPr>
              <w:pStyle w:val="Normal"/>
              <w:spacing w:before="40" w:after="40"/>
              <w:ind w:hanging="0"/>
              <w:rPr>
                <w:rFonts w:ascii="Arial" w:hAnsi="Arial" w:cs="Arial"/>
                <w:b/>
                <w:b/>
                <w:sz w:val="18"/>
                <w:szCs w:val="22"/>
              </w:rPr>
            </w:pPr>
            <w:r>
              <w:rPr>
                <w:rFonts w:cs="Arial" w:ascii="Arial" w:hAnsi="Arial"/>
                <w:b/>
                <w:sz w:val="18"/>
                <w:szCs w:val="22"/>
              </w:rPr>
            </w:r>
          </w:p>
        </w:tc>
        <w:tc>
          <w:tcPr>
            <w:tcW w:w="15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5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5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5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 xml:space="preserve">liczba pojazdów – </w:t>
            </w:r>
          </w:p>
        </w:tc>
      </w:tr>
      <w:tr>
        <w:trPr>
          <w:trHeight w:val="141" w:hRule="atLeast"/>
        </w:trPr>
        <w:tc>
          <w:tcPr>
            <w:tcW w:w="2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sz w:val="22"/>
                <w:szCs w:val="22"/>
              </w:rPr>
            </w:pPr>
            <w:r>
              <w:rPr>
                <w:rFonts w:cs="Arial" w:ascii="Arial" w:hAnsi="Arial"/>
                <w:sz w:val="18"/>
                <w:szCs w:val="22"/>
              </w:rPr>
              <w:t>samochody ciężarowe</w:t>
            </w:r>
          </w:p>
        </w:tc>
        <w:tc>
          <w:tcPr>
            <w:tcW w:w="11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3</w:t>
            </w:r>
          </w:p>
        </w:tc>
        <w:tc>
          <w:tcPr>
            <w:tcW w:w="15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3</w:t>
            </w:r>
          </w:p>
        </w:tc>
        <w:tc>
          <w:tcPr>
            <w:tcW w:w="15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themeFill="background1"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3</w:t>
            </w:r>
          </w:p>
        </w:tc>
        <w:tc>
          <w:tcPr>
            <w:tcW w:w="15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themeFill="background1"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w:t>
            </w:r>
          </w:p>
        </w:tc>
        <w:tc>
          <w:tcPr>
            <w:tcW w:w="15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themeFill="background1"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w:t>
            </w:r>
          </w:p>
        </w:tc>
      </w:tr>
    </w:tbl>
    <w:p>
      <w:pPr>
        <w:pStyle w:val="Western"/>
        <w:keepNext/>
        <w:spacing w:beforeAutospacing="0" w:before="0" w:afterAutospacing="0" w:after="120"/>
        <w:jc w:val="both"/>
        <w:rPr>
          <w:u w:val="single"/>
        </w:rPr>
      </w:pPr>
      <w:r>
        <w:rPr>
          <w:u w:val="single"/>
        </w:rPr>
      </w:r>
    </w:p>
    <w:p>
      <w:pPr>
        <w:pStyle w:val="Normal"/>
        <w:rPr/>
      </w:pPr>
      <w:r>
        <w:rPr/>
        <w:t>Dalsze założenie do obliczeń:</w:t>
      </w:r>
    </w:p>
    <w:p>
      <w:pPr>
        <w:pStyle w:val="NormalWeb"/>
        <w:numPr>
          <w:ilvl w:val="0"/>
          <w:numId w:val="74"/>
        </w:numPr>
        <w:spacing w:beforeAutospacing="0" w:before="0" w:afterAutospacing="0" w:after="0"/>
        <w:ind w:left="709" w:hanging="312"/>
        <w:rPr/>
      </w:pPr>
      <w:r>
        <w:rPr/>
        <w:t>średnia prędkość pojazdów, poruszających się po terenie zakładu – 10 km/h,</w:t>
      </w:r>
    </w:p>
    <w:p>
      <w:pPr>
        <w:pStyle w:val="NormalWeb"/>
        <w:numPr>
          <w:ilvl w:val="0"/>
          <w:numId w:val="74"/>
        </w:numPr>
        <w:spacing w:beforeAutospacing="0" w:before="0" w:afterAutospacing="0" w:after="0"/>
        <w:ind w:left="709" w:hanging="312"/>
        <w:rPr/>
      </w:pPr>
      <w:r>
        <w:rPr/>
        <w:t>poziom mocy akustycznej dla samochodów lekkich (osobowych i dostawczych) – 82 dB;</w:t>
      </w:r>
    </w:p>
    <w:p>
      <w:pPr>
        <w:pStyle w:val="NormalWeb"/>
        <w:numPr>
          <w:ilvl w:val="0"/>
          <w:numId w:val="74"/>
        </w:numPr>
        <w:spacing w:beforeAutospacing="0" w:before="0" w:afterAutospacing="0" w:after="0"/>
        <w:ind w:left="709" w:hanging="312"/>
        <w:rPr/>
      </w:pPr>
      <w:r>
        <w:rPr/>
        <w:t>poziom mocy akustycznej dla samochodów ciężkich (ciężarowych, w tym TIR) – 96,5 dB.</w:t>
      </w:r>
    </w:p>
    <w:p>
      <w:pPr>
        <w:pStyle w:val="Normal"/>
        <w:rPr/>
      </w:pPr>
      <w:r>
        <w:rPr/>
        <w:t>Poziomy mocy akustycznej dla pojazdów lekkich i ciężkich określono na podstawie następujących opracowań:</w:t>
      </w:r>
    </w:p>
    <w:p>
      <w:pPr>
        <w:pStyle w:val="NormalWeb"/>
        <w:numPr>
          <w:ilvl w:val="0"/>
          <w:numId w:val="74"/>
        </w:numPr>
        <w:spacing w:beforeAutospacing="0" w:before="0" w:afterAutospacing="0" w:after="0"/>
        <w:ind w:left="709" w:hanging="312"/>
        <w:rPr/>
      </w:pPr>
      <w:r>
        <w:rPr/>
        <w:t>„</w:t>
      </w:r>
      <w:r>
        <w:rPr/>
        <w:t>Poziom mocy akustycznej ruchomych źródeł hałasu, poruszających się ze stałą prędkością”, Ryszard Hnatków, Politechnika Śląska, Instytut Fizyki, Gliwice – Materiały XXVIII Zimowej Szkoły Zwalczania Zagrożeń Wibroakustycznych, Gliwice-Ustroń, 1999.</w:t>
      </w:r>
    </w:p>
    <w:p>
      <w:pPr>
        <w:pStyle w:val="NormalWeb"/>
        <w:numPr>
          <w:ilvl w:val="0"/>
          <w:numId w:val="74"/>
        </w:numPr>
        <w:spacing w:beforeAutospacing="0" w:before="0" w:afterAutospacing="0" w:after="0"/>
        <w:ind w:left="709" w:hanging="312"/>
        <w:rPr/>
      </w:pPr>
      <w:r>
        <w:rPr/>
        <w:t>„</w:t>
      </w:r>
      <w:r>
        <w:rPr/>
        <w:t>Poziom mocy akustycznej ruchomych źródeł hałasu, poruszających się ruchem przyspieszonym lub opóźnionym”, Ryszard Hnatków, Politechnika Śląska, Instytut Fizyki, Gliwice – Materiały XXVIII Zimowej Szkoły Zwalczania Zagrożeń Wibroakustycznych, Gliwice-Ustroń, 1999.</w:t>
      </w:r>
    </w:p>
    <w:p>
      <w:pPr>
        <w:pStyle w:val="Normal"/>
        <w:rPr/>
      </w:pPr>
      <w:r>
        <w:rPr/>
        <w:t>Schematyczne trasę przejazdu pojazdów, które będą poruszać się po terenie zakładu, przedstawiono na rysunku 34.</w:t>
      </w:r>
    </w:p>
    <w:p>
      <w:pPr>
        <w:pStyle w:val="Tretekstu"/>
        <w:ind w:hanging="0"/>
        <w:jc w:val="left"/>
        <w:rPr>
          <w:b/>
          <w:b/>
          <w:u w:val="single"/>
        </w:rPr>
      </w:pPr>
      <w:r>
        <w:rPr>
          <w:b/>
          <w:u w:val="single"/>
        </w:rPr>
      </w:r>
    </w:p>
    <w:p>
      <w:pPr>
        <w:pStyle w:val="Tretekstu"/>
        <w:spacing w:before="0" w:after="60"/>
        <w:ind w:hanging="0"/>
        <w:jc w:val="left"/>
        <w:rPr>
          <w:b/>
          <w:b/>
          <w:u w:val="single"/>
        </w:rPr>
      </w:pPr>
      <w:r>
        <w:rPr>
          <w:b/>
          <w:u w:val="single"/>
        </w:rPr>
        <w:t>Obliczenia</w:t>
      </w:r>
    </w:p>
    <w:p>
      <w:pPr>
        <w:pStyle w:val="Normal"/>
        <w:rPr/>
      </w:pPr>
      <w:r>
        <w:rPr/>
        <w:t>Drogę przejazdu każdego źródła ruchomego zamieniono na zbiór zastępczych punktowych źródeł dźwięku.</w:t>
      </w:r>
    </w:p>
    <w:p>
      <w:pPr>
        <w:pStyle w:val="Normal"/>
        <w:rPr/>
      </w:pPr>
      <w:r>
        <w:rPr/>
        <w:t>Dla każdego odcinka trasy (zastępczego źródła hałasu) obliczono równoważny poziom mocy akustycznej według wzoru:</w:t>
      </w:r>
    </w:p>
    <w:p>
      <w:pPr>
        <w:pStyle w:val="Normal"/>
        <w:keepNext/>
        <w:tabs>
          <w:tab w:val="left" w:pos="1416" w:leader="none"/>
        </w:tabs>
        <w:rPr>
          <w:bCs/>
        </w:rPr>
      </w:pPr>
      <w:r>
        <w:rPr/>
        <w:drawing>
          <wp:inline distT="0" distB="0" distL="19050" distR="0">
            <wp:extent cx="2783205" cy="485140"/>
            <wp:effectExtent l="0" t="0" r="0" b="0"/>
            <wp:docPr id="56" name="Obraz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66" descr=""/>
                    <pic:cNvPicPr>
                      <a:picLocks noChangeAspect="1" noChangeArrowheads="1"/>
                    </pic:cNvPicPr>
                  </pic:nvPicPr>
                  <pic:blipFill>
                    <a:blip r:embed="rId72"/>
                    <a:stretch>
                      <a:fillRect/>
                    </a:stretch>
                  </pic:blipFill>
                  <pic:spPr bwMode="auto">
                    <a:xfrm>
                      <a:off x="0" y="0"/>
                      <a:ext cx="2783205" cy="485140"/>
                    </a:xfrm>
                    <a:prstGeom prst="rect">
                      <a:avLst/>
                    </a:prstGeom>
                  </pic:spPr>
                </pic:pic>
              </a:graphicData>
            </a:graphic>
          </wp:inline>
        </w:drawing>
      </w:r>
    </w:p>
    <w:p>
      <w:pPr>
        <w:pStyle w:val="Normal"/>
        <w:rPr>
          <w:sz w:val="20"/>
        </w:rPr>
      </w:pPr>
      <w:r>
        <w:rPr>
          <w:sz w:val="20"/>
        </w:rPr>
        <w:t>Gdzie:</w:t>
      </w:r>
    </w:p>
    <w:p>
      <w:pPr>
        <w:pStyle w:val="Normal"/>
        <w:rPr>
          <w:sz w:val="20"/>
        </w:rPr>
      </w:pPr>
      <w:r>
        <w:rPr>
          <w:i/>
          <w:sz w:val="20"/>
        </w:rPr>
        <w:t>L</w:t>
      </w:r>
      <w:r>
        <w:rPr>
          <w:i/>
          <w:sz w:val="20"/>
          <w:vertAlign w:val="subscript"/>
        </w:rPr>
        <w:t>Weqn</w:t>
      </w:r>
      <w:r>
        <w:rPr>
          <w:i/>
          <w:sz w:val="20"/>
        </w:rPr>
        <w:t xml:space="preserve"> </w:t>
      </w:r>
      <w:r>
        <w:rPr>
          <w:sz w:val="20"/>
        </w:rPr>
        <w:t xml:space="preserve">równoważny </w:t>
      </w:r>
      <w:r>
        <w:rPr>
          <w:sz w:val="20"/>
        </w:rPr>
        <w:t>poziom mocy akustycznej dla zastępczego punktowego źródła dźwięku, zastępującego odcinek trasy przejazdu pojazdów [dB]</w:t>
      </w:r>
    </w:p>
    <w:p>
      <w:pPr>
        <w:pStyle w:val="Normal"/>
        <w:rPr>
          <w:sz w:val="20"/>
        </w:rPr>
      </w:pPr>
      <w:r>
        <w:rPr>
          <w:i/>
          <w:sz w:val="20"/>
        </w:rPr>
        <w:t>L</w:t>
      </w:r>
      <w:r>
        <w:rPr>
          <w:i/>
          <w:sz w:val="20"/>
          <w:vertAlign w:val="subscript"/>
        </w:rPr>
        <w:t>Wn</w:t>
        <w:tab/>
      </w:r>
      <w:r>
        <w:rPr>
          <w:sz w:val="20"/>
        </w:rPr>
        <w:t>poziom mocy akustycznej dla pojedynczego pojazdu [dB]</w:t>
      </w:r>
    </w:p>
    <w:p>
      <w:pPr>
        <w:pStyle w:val="Normal"/>
        <w:rPr>
          <w:sz w:val="20"/>
        </w:rPr>
      </w:pPr>
      <w:r>
        <w:rPr>
          <w:i/>
          <w:sz w:val="20"/>
        </w:rPr>
        <w:t>t</w:t>
      </w:r>
      <w:r>
        <w:rPr>
          <w:i/>
          <w:sz w:val="20"/>
          <w:vertAlign w:val="subscript"/>
        </w:rPr>
        <w:t>i</w:t>
        <w:tab/>
      </w:r>
      <w:r>
        <w:rPr>
          <w:sz w:val="20"/>
        </w:rPr>
        <w:t>czas trwania</w:t>
      </w:r>
      <w:r>
        <w:rPr>
          <w:sz w:val="20"/>
          <w:vertAlign w:val="subscript"/>
        </w:rPr>
        <w:t xml:space="preserve"> </w:t>
      </w:r>
      <w:r>
        <w:rPr>
          <w:sz w:val="20"/>
        </w:rPr>
        <w:t xml:space="preserve">sytuacji akustycznej (czas przejazdu pojazdu przez odcinek trasy) </w:t>
      </w:r>
      <w:r>
        <w:rPr>
          <w:sz w:val="20"/>
        </w:rPr>
        <w:t>[h]</w:t>
      </w:r>
    </w:p>
    <w:p>
      <w:pPr>
        <w:pStyle w:val="Normal"/>
        <w:rPr>
          <w:sz w:val="20"/>
        </w:rPr>
      </w:pPr>
      <w:r>
        <w:rPr>
          <w:i/>
          <w:sz w:val="20"/>
        </w:rPr>
        <w:t>T</w:t>
      </w:r>
      <w:r>
        <w:rPr>
          <w:i/>
          <w:sz w:val="20"/>
          <w:vertAlign w:val="subscript"/>
        </w:rPr>
        <w:tab/>
      </w:r>
      <w:r>
        <w:rPr>
          <w:sz w:val="20"/>
        </w:rPr>
        <w:t xml:space="preserve">czas odniesienia </w:t>
      </w:r>
      <w:r>
        <w:rPr>
          <w:sz w:val="20"/>
        </w:rPr>
        <w:t>[h]</w:t>
      </w:r>
    </w:p>
    <w:p>
      <w:pPr>
        <w:pStyle w:val="Normal"/>
        <w:rPr/>
      </w:pPr>
      <w:r>
        <w:rPr/>
      </w:r>
    </w:p>
    <w:p>
      <w:pPr>
        <w:pStyle w:val="Normal"/>
        <w:rPr/>
      </w:pPr>
      <w:r>
        <w:rPr/>
        <w:t>Wyniki obliczeń przedstawiono poniżej.</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44</w:t>
      </w:r>
      <w:r>
        <w:fldChar w:fldCharType="end"/>
      </w:r>
      <w:r>
        <w:rPr/>
        <w:t>.</w:t>
      </w:r>
      <w:r>
        <w:rPr>
          <w:b w:val="false"/>
        </w:rPr>
        <w:t xml:space="preserve"> Równoważny poziom mocy akustycznej dla ruchu samochodów osobowych i dostawczych do 3,5 t – pora dnia</w:t>
      </w:r>
    </w:p>
    <w:tbl>
      <w:tblPr>
        <w:tblW w:w="9362" w:type="dxa"/>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763"/>
        <w:gridCol w:w="794"/>
        <w:gridCol w:w="794"/>
        <w:gridCol w:w="794"/>
        <w:gridCol w:w="794"/>
        <w:gridCol w:w="2"/>
        <w:gridCol w:w="918"/>
        <w:gridCol w:w="2"/>
        <w:gridCol w:w="1079"/>
        <w:gridCol w:w="2"/>
        <w:gridCol w:w="1078"/>
        <w:gridCol w:w="2"/>
        <w:gridCol w:w="1438"/>
        <w:gridCol w:w="2"/>
        <w:gridCol w:w="899"/>
      </w:tblGrid>
      <w:tr>
        <w:trPr>
          <w:tblHeader w:val="true"/>
          <w:trHeight w:val="60" w:hRule="atLeast"/>
        </w:trPr>
        <w:tc>
          <w:tcPr>
            <w:tcW w:w="76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Symbol</w:t>
            </w:r>
          </w:p>
        </w:tc>
        <w:tc>
          <w:tcPr>
            <w:tcW w:w="3178"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Współrzędne źródła</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Długość odcinka</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Średnia prędkość</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Czas trwania sytuacji akustycznej</w:t>
            </w:r>
          </w:p>
        </w:tc>
        <w:tc>
          <w:tcPr>
            <w:tcW w:w="8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Laeq</w:t>
            </w:r>
          </w:p>
        </w:tc>
      </w:tr>
      <w:tr>
        <w:trPr>
          <w:tblHeader w:val="true"/>
          <w:trHeight w:val="60" w:hRule="atLeast"/>
        </w:trPr>
        <w:tc>
          <w:tcPr>
            <w:tcW w:w="76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Xp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Yp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Xk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Yk [m]</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 [m]</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[km/h]</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[h]</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[dB]</w:t>
            </w:r>
          </w:p>
        </w:tc>
      </w:tr>
      <w:tr>
        <w:trPr>
          <w:trHeight w:val="164" w:hRule="atLeast"/>
        </w:trPr>
        <w:tc>
          <w:tcPr>
            <w:tcW w:w="9361" w:type="dxa"/>
            <w:gridSpan w:val="1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bottom"/>
          </w:tcPr>
          <w:p>
            <w:pPr>
              <w:pStyle w:val="Normal"/>
              <w:keepNext/>
              <w:spacing w:before="40" w:after="40"/>
              <w:ind w:hanging="0"/>
              <w:jc w:val="center"/>
              <w:rPr>
                <w:rFonts w:ascii="Arial" w:hAnsi="Arial" w:cs="Arial"/>
                <w:b/>
                <w:b/>
                <w:bCs/>
                <w:sz w:val="18"/>
                <w:szCs w:val="18"/>
              </w:rPr>
            </w:pPr>
            <w:r>
              <w:rPr>
                <w:rFonts w:cs="Arial" w:ascii="Arial" w:hAnsi="Arial"/>
                <w:b/>
                <w:sz w:val="18"/>
                <w:szCs w:val="18"/>
              </w:rPr>
              <w:t>PORA DNIA, czas odniesienia – 8 h, L</w:t>
            </w:r>
            <w:r>
              <w:rPr>
                <w:rFonts w:cs="Arial" w:ascii="Arial" w:hAnsi="Arial"/>
                <w:b/>
                <w:sz w:val="18"/>
                <w:szCs w:val="18"/>
                <w:vertAlign w:val="subscript"/>
              </w:rPr>
              <w:t>W</w:t>
            </w:r>
            <w:r>
              <w:rPr>
                <w:rFonts w:cs="Arial" w:ascii="Arial" w:hAnsi="Arial"/>
                <w:b/>
                <w:sz w:val="18"/>
                <w:szCs w:val="18"/>
              </w:rPr>
              <w:t xml:space="preserve"> = 82 dB</w:t>
            </w:r>
          </w:p>
        </w:tc>
      </w:tr>
      <w:tr>
        <w:trPr>
          <w:trHeight w:val="120"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O1</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217,9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197,9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220,9</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10,4</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0,0028</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53,95</w:t>
            </w:r>
          </w:p>
        </w:tc>
      </w:tr>
      <w:tr>
        <w:trPr>
          <w:trHeight w:val="60"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O2</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197,9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227,7</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7,4</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0,0020</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52,47</w:t>
            </w:r>
          </w:p>
        </w:tc>
      </w:tr>
      <w:tr>
        <w:trPr>
          <w:trHeight w:val="100"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O3</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227,7</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229</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37,0</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0,0099</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59,45</w:t>
            </w:r>
          </w:p>
        </w:tc>
      </w:tr>
      <w:tr>
        <w:trPr>
          <w:trHeight w:val="75"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239,4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158,8</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70,2</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0,0187</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62,23</w:t>
            </w:r>
          </w:p>
        </w:tc>
      </w:tr>
      <w:tr>
        <w:trPr>
          <w:trHeight w:val="66"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O5</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239,4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158,8</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204,1</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157,8</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35,3</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0,0094</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59,24</w:t>
            </w:r>
          </w:p>
        </w:tc>
      </w:tr>
    </w:tbl>
    <w:p>
      <w:pPr>
        <w:pStyle w:val="APODPISTABELI"/>
        <w:jc w:val="left"/>
        <w:rPr>
          <w:rFonts w:ascii="Arial" w:hAnsi="Arial" w:cs="Arial"/>
          <w:b w:val="false"/>
          <w:b w:val="false"/>
          <w:color w:val="000000"/>
          <w:sz w:val="16"/>
          <w:szCs w:val="22"/>
        </w:rPr>
      </w:pPr>
      <w:r>
        <w:rPr>
          <w:rFonts w:cs="Arial" w:ascii="Arial" w:hAnsi="Arial"/>
          <w:color w:val="000000"/>
          <w:sz w:val="16"/>
          <w:szCs w:val="22"/>
        </w:rPr>
        <w:t xml:space="preserve">* </w:t>
      </w:r>
      <w:r>
        <w:rPr>
          <w:rFonts w:cs="Arial" w:ascii="Arial" w:hAnsi="Arial"/>
          <w:b w:val="false"/>
          <w:color w:val="000000"/>
          <w:sz w:val="16"/>
          <w:szCs w:val="22"/>
        </w:rPr>
        <w:t>uwzględniono wjazd na teren zakładu i wyjazd z terenu zakładu po wyznaczonej trasie, dlatego liczbę pojazdów pomnożono przez 2</w:t>
      </w:r>
    </w:p>
    <w:p>
      <w:pPr>
        <w:pStyle w:val="Normal"/>
        <w:rPr>
          <w:bCs/>
          <w:color w:val="0000FF"/>
        </w:rPr>
      </w:pPr>
      <w:r>
        <w:rPr>
          <w:bCs/>
          <w:color w:val="0000FF"/>
        </w:rPr>
      </w:r>
    </w:p>
    <w:p>
      <w:pPr>
        <w:pStyle w:val="Caption"/>
        <w:keepNext/>
        <w:jc w:val="left"/>
        <w:rPr/>
      </w:pPr>
      <w:r>
        <w:rPr/>
        <w:t xml:space="preserve">Tabela </w:t>
      </w:r>
      <w:r>
        <w:rPr/>
        <w:fldChar w:fldCharType="begin"/>
      </w:r>
      <w:r>
        <w:instrText> SEQ Tabela \* ARABIC </w:instrText>
      </w:r>
      <w:r>
        <w:fldChar w:fldCharType="separate"/>
      </w:r>
      <w:r>
        <w:t>45</w:t>
      </w:r>
      <w:r>
        <w:fldChar w:fldCharType="end"/>
      </w:r>
      <w:r>
        <w:rPr/>
        <w:t>.</w:t>
      </w:r>
      <w:r>
        <w:rPr>
          <w:b w:val="false"/>
        </w:rPr>
        <w:t xml:space="preserve"> Równoważny poziom mocy akustycznej dla ruchu samochodów osobowych – pora nocy</w:t>
      </w:r>
    </w:p>
    <w:tbl>
      <w:tblPr>
        <w:tblW w:w="9362" w:type="dxa"/>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763"/>
        <w:gridCol w:w="794"/>
        <w:gridCol w:w="794"/>
        <w:gridCol w:w="794"/>
        <w:gridCol w:w="794"/>
        <w:gridCol w:w="2"/>
        <w:gridCol w:w="918"/>
        <w:gridCol w:w="2"/>
        <w:gridCol w:w="1079"/>
        <w:gridCol w:w="2"/>
        <w:gridCol w:w="1078"/>
        <w:gridCol w:w="2"/>
        <w:gridCol w:w="1438"/>
        <w:gridCol w:w="2"/>
        <w:gridCol w:w="899"/>
      </w:tblGrid>
      <w:tr>
        <w:trPr>
          <w:tblHeader w:val="true"/>
          <w:trHeight w:val="298" w:hRule="atLeast"/>
        </w:trPr>
        <w:tc>
          <w:tcPr>
            <w:tcW w:w="76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Symbol</w:t>
            </w:r>
          </w:p>
        </w:tc>
        <w:tc>
          <w:tcPr>
            <w:tcW w:w="3178"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Współrzędne źródła</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Długość odcinka</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Liczba pojazdów*</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Średnia prędkość</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Czas trwania sytuacji akustycznej</w:t>
            </w:r>
          </w:p>
        </w:tc>
        <w:tc>
          <w:tcPr>
            <w:tcW w:w="8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Laeq</w:t>
            </w:r>
          </w:p>
        </w:tc>
      </w:tr>
      <w:tr>
        <w:trPr>
          <w:tblHeader w:val="true"/>
          <w:trHeight w:val="165" w:hRule="atLeast"/>
        </w:trPr>
        <w:tc>
          <w:tcPr>
            <w:tcW w:w="76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Xp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Yp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Xk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Yk [m]</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 [m]</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[km/h]</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[h]</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[dB]</w:t>
            </w:r>
          </w:p>
        </w:tc>
      </w:tr>
      <w:tr>
        <w:trPr>
          <w:trHeight w:val="142" w:hRule="atLeast"/>
        </w:trPr>
        <w:tc>
          <w:tcPr>
            <w:tcW w:w="9361" w:type="dxa"/>
            <w:gridSpan w:val="1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bottom"/>
          </w:tcPr>
          <w:p>
            <w:pPr>
              <w:pStyle w:val="Normal"/>
              <w:keepNext/>
              <w:spacing w:before="40" w:after="40"/>
              <w:ind w:hanging="0"/>
              <w:jc w:val="center"/>
              <w:rPr>
                <w:rFonts w:ascii="Arial" w:hAnsi="Arial" w:cs="Arial"/>
                <w:b/>
                <w:b/>
                <w:bCs/>
                <w:sz w:val="18"/>
                <w:szCs w:val="18"/>
              </w:rPr>
            </w:pPr>
            <w:r>
              <w:rPr>
                <w:rFonts w:cs="Arial" w:ascii="Arial" w:hAnsi="Arial"/>
                <w:b/>
                <w:sz w:val="18"/>
                <w:szCs w:val="18"/>
              </w:rPr>
              <w:t>PORA NOCY, czas odniesienia – 1 h, L</w:t>
            </w:r>
            <w:r>
              <w:rPr>
                <w:rFonts w:cs="Arial" w:ascii="Arial" w:hAnsi="Arial"/>
                <w:b/>
                <w:sz w:val="18"/>
                <w:szCs w:val="18"/>
                <w:vertAlign w:val="subscript"/>
              </w:rPr>
              <w:t>W</w:t>
            </w:r>
            <w:r>
              <w:rPr>
                <w:rFonts w:cs="Arial" w:ascii="Arial" w:hAnsi="Arial"/>
                <w:b/>
                <w:sz w:val="18"/>
                <w:szCs w:val="18"/>
              </w:rPr>
              <w:t xml:space="preserve"> = 82 dB</w:t>
            </w:r>
          </w:p>
        </w:tc>
      </w:tr>
      <w:tr>
        <w:trPr>
          <w:trHeight w:val="60"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O1</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217,9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197,9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220,9</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10,4</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0,0028</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56,4</w:t>
            </w:r>
          </w:p>
        </w:tc>
      </w:tr>
      <w:tr>
        <w:trPr>
          <w:trHeight w:val="108"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O2</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197,9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227,7</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7,4</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0,0020</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55,0</w:t>
            </w:r>
          </w:p>
        </w:tc>
      </w:tr>
      <w:tr>
        <w:trPr>
          <w:trHeight w:val="111"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O3</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227,7</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229</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37,0</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0,0099</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61,9</w:t>
            </w:r>
          </w:p>
        </w:tc>
      </w:tr>
      <w:tr>
        <w:trPr>
          <w:trHeight w:val="88"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239,4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158,8</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70,2</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0,0187</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64,7</w:t>
            </w:r>
          </w:p>
        </w:tc>
      </w:tr>
      <w:tr>
        <w:trPr>
          <w:trHeight w:val="219"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O5</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239,4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158,8</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204,1</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157,8</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35,3</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0,0094</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61,7</w:t>
            </w:r>
          </w:p>
        </w:tc>
      </w:tr>
    </w:tbl>
    <w:p>
      <w:pPr>
        <w:pStyle w:val="APODPISTABELI"/>
        <w:jc w:val="left"/>
        <w:rPr>
          <w:rFonts w:ascii="Arial" w:hAnsi="Arial" w:cs="Arial"/>
          <w:b w:val="false"/>
          <w:b w:val="false"/>
          <w:color w:val="000000"/>
          <w:sz w:val="16"/>
          <w:szCs w:val="22"/>
        </w:rPr>
      </w:pPr>
      <w:r>
        <w:rPr>
          <w:rFonts w:cs="Arial" w:ascii="Arial" w:hAnsi="Arial"/>
          <w:b w:val="false"/>
          <w:color w:val="000000"/>
          <w:sz w:val="16"/>
          <w:szCs w:val="22"/>
        </w:rPr>
        <w:t>* uwzględniono wjazd na teren zakładu i wyjazd z terenu zakładu po wyznaczonej trasie, dlatego liczbę pojazdów pomnożono przez 2</w:t>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Caption"/>
        <w:keepNext/>
        <w:jc w:val="left"/>
        <w:rPr/>
      </w:pPr>
      <w:r>
        <w:rPr/>
        <w:t xml:space="preserve">Tabela </w:t>
      </w:r>
      <w:r>
        <w:rPr/>
        <w:fldChar w:fldCharType="begin"/>
      </w:r>
      <w:r>
        <w:instrText> SEQ Tabela \* ARABIC </w:instrText>
      </w:r>
      <w:r>
        <w:fldChar w:fldCharType="separate"/>
      </w:r>
      <w:r>
        <w:t>46</w:t>
      </w:r>
      <w:r>
        <w:fldChar w:fldCharType="end"/>
      </w:r>
      <w:r>
        <w:rPr/>
        <w:t>.</w:t>
      </w:r>
      <w:r>
        <w:rPr>
          <w:b w:val="false"/>
        </w:rPr>
        <w:t xml:space="preserve"> Równoważny poziom mocy akustycznej dla ruchu samochodów ciężarowych – pora dnia</w:t>
      </w:r>
    </w:p>
    <w:tbl>
      <w:tblPr>
        <w:tblW w:w="9362" w:type="dxa"/>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763"/>
        <w:gridCol w:w="794"/>
        <w:gridCol w:w="794"/>
        <w:gridCol w:w="794"/>
        <w:gridCol w:w="794"/>
        <w:gridCol w:w="2"/>
        <w:gridCol w:w="918"/>
        <w:gridCol w:w="2"/>
        <w:gridCol w:w="1079"/>
        <w:gridCol w:w="2"/>
        <w:gridCol w:w="1078"/>
        <w:gridCol w:w="2"/>
        <w:gridCol w:w="1438"/>
        <w:gridCol w:w="2"/>
        <w:gridCol w:w="899"/>
      </w:tblGrid>
      <w:tr>
        <w:trPr>
          <w:tblHeader w:val="true"/>
          <w:trHeight w:val="298" w:hRule="atLeast"/>
        </w:trPr>
        <w:tc>
          <w:tcPr>
            <w:tcW w:w="76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Symbol</w:t>
            </w:r>
          </w:p>
        </w:tc>
        <w:tc>
          <w:tcPr>
            <w:tcW w:w="3178"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Współrzędne źródła</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Długość odcinka</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Liczba pojazdów*</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Średnia prędkość</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Czas trwania sytuacji akustycznej</w:t>
            </w:r>
          </w:p>
        </w:tc>
        <w:tc>
          <w:tcPr>
            <w:tcW w:w="8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Laeq</w:t>
            </w:r>
          </w:p>
        </w:tc>
      </w:tr>
      <w:tr>
        <w:trPr>
          <w:tblHeader w:val="true"/>
          <w:trHeight w:val="165" w:hRule="atLeast"/>
        </w:trPr>
        <w:tc>
          <w:tcPr>
            <w:tcW w:w="76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Xp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Yp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Xk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Yk [m]</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 [m]</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[km/h]</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[h]</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[dB]</w:t>
            </w:r>
          </w:p>
        </w:tc>
      </w:tr>
      <w:tr>
        <w:trPr>
          <w:trHeight w:val="142" w:hRule="atLeast"/>
        </w:trPr>
        <w:tc>
          <w:tcPr>
            <w:tcW w:w="9361" w:type="dxa"/>
            <w:gridSpan w:val="1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bottom"/>
          </w:tcPr>
          <w:p>
            <w:pPr>
              <w:pStyle w:val="Normal"/>
              <w:keepNext/>
              <w:spacing w:before="40" w:after="40"/>
              <w:ind w:hanging="0"/>
              <w:jc w:val="center"/>
              <w:rPr>
                <w:rFonts w:ascii="Arial" w:hAnsi="Arial" w:cs="Arial"/>
                <w:b/>
                <w:b/>
                <w:bCs/>
                <w:sz w:val="18"/>
                <w:szCs w:val="18"/>
              </w:rPr>
            </w:pPr>
            <w:r>
              <w:rPr>
                <w:rFonts w:cs="Arial" w:ascii="Arial" w:hAnsi="Arial"/>
                <w:b/>
                <w:sz w:val="18"/>
                <w:szCs w:val="18"/>
              </w:rPr>
              <w:t>PORA DNIA, czas odniesienia – 8 h, L</w:t>
            </w:r>
            <w:r>
              <w:rPr>
                <w:rFonts w:cs="Arial" w:ascii="Arial" w:hAnsi="Arial"/>
                <w:b/>
                <w:sz w:val="18"/>
                <w:szCs w:val="18"/>
                <w:vertAlign w:val="subscript"/>
              </w:rPr>
              <w:t>W</w:t>
            </w:r>
            <w:r>
              <w:rPr>
                <w:rFonts w:cs="Arial" w:ascii="Arial" w:hAnsi="Arial"/>
                <w:b/>
                <w:sz w:val="18"/>
                <w:szCs w:val="18"/>
              </w:rPr>
              <w:t xml:space="preserve"> = 96,5 dB</w:t>
            </w:r>
          </w:p>
        </w:tc>
      </w:tr>
      <w:tr>
        <w:trPr>
          <w:trHeight w:val="60"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C1</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217,9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197,9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220,9</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10,4</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0,0042</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63,7</w:t>
            </w:r>
          </w:p>
        </w:tc>
      </w:tr>
      <w:tr>
        <w:trPr>
          <w:trHeight w:val="108"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C2</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197,9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227,7</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7,4</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0,0030</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62,2</w:t>
            </w:r>
          </w:p>
        </w:tc>
      </w:tr>
      <w:tr>
        <w:trPr>
          <w:trHeight w:val="111"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C3</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227,7</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229</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37,0</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0,0148</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69,2</w:t>
            </w:r>
          </w:p>
        </w:tc>
      </w:tr>
      <w:tr>
        <w:trPr>
          <w:trHeight w:val="88"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C4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239,4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158,8</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70,2</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0,0281</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72,0</w:t>
            </w:r>
          </w:p>
        </w:tc>
      </w:tr>
      <w:tr>
        <w:trPr>
          <w:trHeight w:val="219"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C5</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239,4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158,8</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204,1</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157,8</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35,3</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0,0141</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69,0</w:t>
            </w:r>
          </w:p>
        </w:tc>
      </w:tr>
    </w:tbl>
    <w:p>
      <w:pPr>
        <w:pStyle w:val="APODPISTABELI"/>
        <w:jc w:val="left"/>
        <w:rPr>
          <w:rFonts w:ascii="Arial" w:hAnsi="Arial" w:cs="Arial"/>
          <w:b w:val="false"/>
          <w:b w:val="false"/>
          <w:color w:val="000000"/>
          <w:sz w:val="16"/>
          <w:szCs w:val="22"/>
        </w:rPr>
      </w:pPr>
      <w:r>
        <w:rPr>
          <w:rFonts w:cs="Arial" w:ascii="Arial" w:hAnsi="Arial"/>
          <w:b w:val="false"/>
          <w:color w:val="000000"/>
          <w:sz w:val="16"/>
          <w:szCs w:val="22"/>
        </w:rPr>
        <w:t>* uwzględniono wjazd na teren zakładu i wyjazd z terenu zakładu po wyznaczonej trasie, dlatego liczbę pojazdów pomnożono przez 2</w:t>
      </w:r>
    </w:p>
    <w:p>
      <w:pPr>
        <w:pStyle w:val="Normal"/>
        <w:rPr/>
      </w:pPr>
      <w:r>
        <w:rPr/>
      </w:r>
    </w:p>
    <w:p>
      <w:pPr>
        <w:pStyle w:val="Tretekstu"/>
        <w:spacing w:before="0" w:after="60"/>
        <w:ind w:hanging="0"/>
        <w:jc w:val="left"/>
        <w:rPr>
          <w:b/>
          <w:b/>
          <w:u w:val="single"/>
        </w:rPr>
      </w:pPr>
      <w:r>
        <w:rPr>
          <w:b/>
          <w:u w:val="single"/>
        </w:rPr>
        <w:t>Samochody ciężarowe – start/zatrzymanie</w:t>
      </w:r>
    </w:p>
    <w:p>
      <w:pPr>
        <w:pStyle w:val="Normal"/>
        <w:rPr/>
      </w:pPr>
      <w:r>
        <w:rPr/>
        <w:t>W obliczeniach oddzielnie potraktowano sytuację akustyczną, jaką jest start/zatrzymanie samochodów ciężarowych – uznano ją za wszechkierunkowe źródło hałasu. Poziomy mocy akustycznej przyjęto na podstawie następujących źródeł literaturowych:</w:t>
      </w:r>
    </w:p>
    <w:p>
      <w:pPr>
        <w:pStyle w:val="NormalWeb"/>
        <w:numPr>
          <w:ilvl w:val="0"/>
          <w:numId w:val="74"/>
        </w:numPr>
        <w:spacing w:beforeAutospacing="0" w:before="0" w:afterAutospacing="0" w:after="0"/>
        <w:ind w:left="709" w:hanging="312"/>
        <w:rPr/>
      </w:pPr>
      <w:r>
        <w:rPr/>
        <w:t>„</w:t>
      </w:r>
      <w:r>
        <w:rPr/>
        <w:t>Poziom mocy akustycznej ruchomych źródeł hałasu, poruszających się  ze stałą prędkością”, Ryszard Hnatków, Politechnika Śląska, Instytut Fizyki, Gliwice – Materiały XXVIII Zimowej Szkoły Zwalczania Zagrożeń Wibroakustycznych, Gliwice-Ustroń, 1999.</w:t>
      </w:r>
    </w:p>
    <w:p>
      <w:pPr>
        <w:pStyle w:val="NormalWeb"/>
        <w:numPr>
          <w:ilvl w:val="0"/>
          <w:numId w:val="74"/>
        </w:numPr>
        <w:spacing w:beforeAutospacing="0" w:before="0" w:afterAutospacing="0" w:after="0"/>
        <w:ind w:left="709" w:hanging="312"/>
        <w:rPr/>
      </w:pPr>
      <w:r>
        <w:rPr/>
        <w:t>„</w:t>
      </w:r>
      <w:r>
        <w:rPr/>
        <w:t>Poziom mocy akustycznej ruchomych źródeł hałasu, poruszających się ruchem przyspieszonym lub opóźnionym”, Ryszard Hnatków, Politechnika Śląska, Instytut Fizyki, Gliwice – Materiały XXVIII Zimowej Szkoły Zwalczania Zagrożeń Wibroakustycznych, Gliwice-Ustroń, 1999.</w:t>
      </w:r>
    </w:p>
    <w:p>
      <w:pPr>
        <w:pStyle w:val="Normal"/>
        <w:rPr/>
      </w:pPr>
      <w:r>
        <w:rPr/>
        <w:t xml:space="preserve">Charakterystykę omawianej sytuacji akustycznej przedstawiono w poniższej tabeli.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47</w:t>
      </w:r>
      <w:r>
        <w:fldChar w:fldCharType="end"/>
      </w:r>
      <w:r>
        <w:rPr/>
        <w:t>.</w:t>
      </w:r>
      <w:r>
        <w:rPr>
          <w:b w:val="false"/>
        </w:rPr>
        <w:t xml:space="preserve"> Charakterystyka sytuacji akustycznej – start/zatrzymanie pojedynczego samochodu ciężarowego</w:t>
      </w:r>
    </w:p>
    <w:tbl>
      <w:tblPr>
        <w:tblStyle w:val="Tabela-Siatka"/>
        <w:tblW w:w="9357" w:type="dxa"/>
        <w:jc w:val="left"/>
        <w:tblInd w:w="108" w:type="dxa"/>
        <w:tblCellMar>
          <w:top w:w="0" w:type="dxa"/>
          <w:left w:w="108" w:type="dxa"/>
          <w:bottom w:w="0" w:type="dxa"/>
          <w:right w:w="108" w:type="dxa"/>
        </w:tblCellMar>
        <w:tblLook w:firstRow="1" w:noVBand="0" w:lastRow="1" w:firstColumn="1" w:lastColumn="1" w:noHBand="0" w:val="01e0"/>
      </w:tblPr>
      <w:tblGrid>
        <w:gridCol w:w="3119"/>
        <w:gridCol w:w="3119"/>
        <w:gridCol w:w="3119"/>
      </w:tblGrid>
      <w:tr>
        <w:trPr/>
        <w:tc>
          <w:tcPr>
            <w:tcW w:w="3119"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b/>
                <w:bCs/>
                <w:color w:val="000000"/>
                <w:sz w:val="18"/>
                <w:szCs w:val="22"/>
              </w:rPr>
              <w:t>Sytuacja akustyczna</w:t>
            </w:r>
          </w:p>
        </w:tc>
        <w:tc>
          <w:tcPr>
            <w:tcW w:w="3119"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b/>
                <w:bCs/>
                <w:color w:val="000000"/>
                <w:sz w:val="18"/>
                <w:szCs w:val="22"/>
              </w:rPr>
              <w:t>Poziom mocy akustycznej</w:t>
            </w:r>
          </w:p>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b/>
                <w:bCs/>
                <w:color w:val="000000"/>
                <w:sz w:val="18"/>
                <w:szCs w:val="22"/>
              </w:rPr>
              <w:t>[dB]</w:t>
            </w:r>
          </w:p>
        </w:tc>
        <w:tc>
          <w:tcPr>
            <w:tcW w:w="3119"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b/>
                <w:bCs/>
                <w:color w:val="000000"/>
                <w:sz w:val="18"/>
                <w:szCs w:val="22"/>
              </w:rPr>
              <w:t>Czas trwania sytuacji akustycznej dla pojedynczego samochodu</w:t>
            </w:r>
            <w:r>
              <w:rPr>
                <w:rFonts w:cs="Arial" w:ascii="Arial" w:hAnsi="Arial"/>
                <w:color w:val="000000"/>
                <w:sz w:val="18"/>
                <w:szCs w:val="22"/>
              </w:rPr>
              <w:t xml:space="preserve"> </w:t>
            </w:r>
            <w:r>
              <w:rPr>
                <w:rFonts w:cs="Arial" w:ascii="Arial" w:hAnsi="Arial"/>
                <w:b/>
                <w:bCs/>
                <w:color w:val="000000"/>
                <w:sz w:val="18"/>
                <w:szCs w:val="22"/>
              </w:rPr>
              <w:t>[s]</w:t>
            </w:r>
          </w:p>
        </w:tc>
      </w:tr>
      <w:tr>
        <w:trPr/>
        <w:tc>
          <w:tcPr>
            <w:tcW w:w="3119"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Start samochodu ciężarowego</w:t>
            </w:r>
          </w:p>
        </w:tc>
        <w:tc>
          <w:tcPr>
            <w:tcW w:w="3119"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100,8</w:t>
            </w:r>
          </w:p>
        </w:tc>
        <w:tc>
          <w:tcPr>
            <w:tcW w:w="3119"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5</w:t>
            </w:r>
          </w:p>
        </w:tc>
      </w:tr>
      <w:tr>
        <w:trPr/>
        <w:tc>
          <w:tcPr>
            <w:tcW w:w="3119"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Hamowanie samochodu ciężarowego</w:t>
            </w:r>
          </w:p>
        </w:tc>
        <w:tc>
          <w:tcPr>
            <w:tcW w:w="3119"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94</w:t>
            </w:r>
          </w:p>
        </w:tc>
        <w:tc>
          <w:tcPr>
            <w:tcW w:w="3119" w:type="dxa"/>
            <w:tcBorders/>
            <w:shd w:fill="auto" w:val="clear"/>
            <w:tcMar>
              <w:left w:w="108" w:type="dxa"/>
            </w:tcMar>
            <w:vAlign w:val="center"/>
          </w:tcPr>
          <w:p>
            <w:pPr>
              <w:pStyle w:val="NormalWeb"/>
              <w:keepNext/>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3</w:t>
            </w:r>
          </w:p>
        </w:tc>
      </w:tr>
    </w:tbl>
    <w:p>
      <w:pPr>
        <w:pStyle w:val="Normal"/>
        <w:spacing w:lineRule="auto" w:line="360"/>
        <w:rPr/>
      </w:pPr>
      <w:r>
        <w:rPr/>
      </w:r>
    </w:p>
    <w:p>
      <w:pPr>
        <w:pStyle w:val="Normal"/>
        <w:rPr/>
      </w:pPr>
      <w:r>
        <w:rPr/>
        <w:t>Przyjęto 1 punkt zatrzymania samochodów ciężarowych.</w:t>
      </w:r>
    </w:p>
    <w:p>
      <w:pPr>
        <w:pStyle w:val="Normal"/>
        <w:rPr/>
      </w:pPr>
      <w:r>
        <w:rPr/>
        <w:t>Założono, że maksymalny czas trwania sytuacji akustycznej dla jednego samochodu ciężarowego trwa 5 s  (wybrano dłuższy czas spośród czasu startu i zatrzymania).</w:t>
      </w:r>
    </w:p>
    <w:p>
      <w:pPr>
        <w:pStyle w:val="Normal"/>
        <w:rPr/>
      </w:pPr>
      <w:r>
        <w:rPr/>
        <w:t>Wysokość źródła to 1 m.</w:t>
      </w:r>
    </w:p>
    <w:p>
      <w:pPr>
        <w:pStyle w:val="Normal"/>
        <w:rPr/>
      </w:pPr>
      <w:r>
        <w:rPr/>
        <w:t>Poziom mocy akustycznej źródeł obliczono z następującego wzoru:</w:t>
      </w:r>
    </w:p>
    <w:p>
      <w:pPr>
        <w:pStyle w:val="Normal"/>
        <w:rPr/>
      </w:pPr>
      <w:r>
        <w:rPr/>
        <w:drawing>
          <wp:inline distT="0" distB="0" distL="19050" distR="0">
            <wp:extent cx="2783205" cy="485140"/>
            <wp:effectExtent l="0" t="0" r="0" b="0"/>
            <wp:docPr id="57" name="Obraz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67" descr=""/>
                    <pic:cNvPicPr>
                      <a:picLocks noChangeAspect="1" noChangeArrowheads="1"/>
                    </pic:cNvPicPr>
                  </pic:nvPicPr>
                  <pic:blipFill>
                    <a:blip r:embed="rId73"/>
                    <a:stretch>
                      <a:fillRect/>
                    </a:stretch>
                  </pic:blipFill>
                  <pic:spPr bwMode="auto">
                    <a:xfrm>
                      <a:off x="0" y="0"/>
                      <a:ext cx="2783205" cy="485140"/>
                    </a:xfrm>
                    <a:prstGeom prst="rect">
                      <a:avLst/>
                    </a:prstGeom>
                  </pic:spPr>
                </pic:pic>
              </a:graphicData>
            </a:graphic>
          </wp:inline>
        </w:drawing>
      </w:r>
    </w:p>
    <w:p>
      <w:pPr>
        <w:pStyle w:val="Normal"/>
        <w:rPr>
          <w:sz w:val="20"/>
        </w:rPr>
      </w:pPr>
      <w:r>
        <w:rPr>
          <w:sz w:val="20"/>
        </w:rPr>
        <w:t>Gdzie:</w:t>
      </w:r>
    </w:p>
    <w:p>
      <w:pPr>
        <w:pStyle w:val="Normal"/>
        <w:rPr>
          <w:sz w:val="20"/>
        </w:rPr>
      </w:pPr>
      <w:r>
        <w:rPr>
          <w:sz w:val="20"/>
        </w:rPr>
        <w:t>L</w:t>
      </w:r>
      <w:r>
        <w:rPr>
          <w:sz w:val="20"/>
          <w:vertAlign w:val="subscript"/>
        </w:rPr>
        <w:t>Weqn</w:t>
      </w:r>
      <w:r>
        <w:rPr>
          <w:sz w:val="20"/>
        </w:rPr>
        <w:t xml:space="preserve"> równoważny poziom mocy akustycznej dla zastępczego punktowego źródła dźwięku, zastępującego start/zatrzymanie samochodów ciężarowych [dB]</w:t>
      </w:r>
    </w:p>
    <w:p>
      <w:pPr>
        <w:pStyle w:val="Normal"/>
        <w:rPr>
          <w:sz w:val="20"/>
        </w:rPr>
      </w:pPr>
      <w:r>
        <w:rPr>
          <w:sz w:val="20"/>
        </w:rPr>
        <w:t>L</w:t>
      </w:r>
      <w:r>
        <w:rPr>
          <w:sz w:val="20"/>
          <w:vertAlign w:val="subscript"/>
        </w:rPr>
        <w:t>Wn</w:t>
      </w:r>
      <w:r>
        <w:rPr>
          <w:sz w:val="20"/>
        </w:rPr>
        <w:tab/>
        <w:t xml:space="preserve"> poziom mocy akustycznej dla danej sytuacji akustycznej [dB]</w:t>
      </w:r>
    </w:p>
    <w:p>
      <w:pPr>
        <w:pStyle w:val="Normal"/>
        <w:rPr>
          <w:sz w:val="20"/>
        </w:rPr>
      </w:pPr>
      <w:r>
        <w:rPr>
          <w:sz w:val="20"/>
        </w:rPr>
        <w:t>ti czas trwania danej sytuacji akustycznej [h]</w:t>
      </w:r>
    </w:p>
    <w:p>
      <w:pPr>
        <w:pStyle w:val="Normal"/>
        <w:rPr>
          <w:sz w:val="20"/>
        </w:rPr>
      </w:pPr>
      <w:r>
        <w:rPr>
          <w:sz w:val="20"/>
        </w:rPr>
        <w:t>T czas odniesienia [h]</w:t>
      </w:r>
    </w:p>
    <w:p>
      <w:pPr>
        <w:pStyle w:val="Normal"/>
        <w:rPr/>
      </w:pPr>
      <w:r>
        <w:rPr/>
      </w:r>
    </w:p>
    <w:p>
      <w:pPr>
        <w:pStyle w:val="Normal"/>
        <w:rPr/>
      </w:pPr>
      <w:r>
        <w:rPr/>
        <w:t>Poziomy mocy akustycznej sytuacji polegającej na starcie/zatrzymaniu samochodów ciężarowych dla pory dnia przedstawiono w poniższej tabeli.</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48</w:t>
      </w:r>
      <w:r>
        <w:fldChar w:fldCharType="end"/>
      </w:r>
      <w:r>
        <w:rPr/>
        <w:t>.</w:t>
      </w:r>
      <w:r>
        <w:rPr>
          <w:b w:val="false"/>
        </w:rPr>
        <w:t xml:space="preserve"> Źródła wszechkierunkowe – start/zatrzymanie samochodów ciężarowych – poziom mocy akustycznej (pora dnia)</w:t>
      </w:r>
    </w:p>
    <w:tbl>
      <w:tblPr>
        <w:tblW w:w="9356" w:type="dxa"/>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1161"/>
        <w:gridCol w:w="3941"/>
        <w:gridCol w:w="1417"/>
        <w:gridCol w:w="1418"/>
        <w:gridCol w:w="1419"/>
      </w:tblGrid>
      <w:tr>
        <w:trPr>
          <w:tblHeader w:val="true"/>
          <w:trHeight w:val="895" w:hRule="atLeast"/>
        </w:trPr>
        <w:tc>
          <w:tcPr>
            <w:tcW w:w="11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Symbol</w:t>
            </w:r>
          </w:p>
        </w:tc>
        <w:tc>
          <w:tcPr>
            <w:tcW w:w="3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Sytuacja</w:t>
            </w:r>
          </w:p>
        </w:tc>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Liczba pojazdów</w:t>
            </w:r>
          </w:p>
        </w:tc>
        <w:tc>
          <w:tcPr>
            <w:tcW w:w="141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Czas trwania sytuacji akustycznej [min]</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Laeq [dB]</w:t>
            </w:r>
          </w:p>
        </w:tc>
      </w:tr>
      <w:tr>
        <w:trPr>
          <w:trHeight w:val="175" w:hRule="atLeast"/>
        </w:trPr>
        <w:tc>
          <w:tcPr>
            <w:tcW w:w="11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keepNext/>
              <w:spacing w:before="40" w:after="40"/>
              <w:ind w:hanging="0"/>
              <w:jc w:val="center"/>
              <w:rPr>
                <w:rFonts w:ascii="Arial" w:hAnsi="Arial" w:cs="Arial"/>
                <w:sz w:val="18"/>
                <w:szCs w:val="22"/>
              </w:rPr>
            </w:pPr>
            <w:r>
              <w:rPr>
                <w:rFonts w:cs="Arial" w:ascii="Arial" w:hAnsi="Arial"/>
                <w:sz w:val="18"/>
                <w:szCs w:val="22"/>
              </w:rPr>
              <w:t>S/S1</w:t>
            </w:r>
          </w:p>
        </w:tc>
        <w:tc>
          <w:tcPr>
            <w:tcW w:w="3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keepNext/>
              <w:spacing w:before="40" w:after="40"/>
              <w:ind w:left="57" w:hanging="0"/>
              <w:jc w:val="center"/>
              <w:rPr>
                <w:rFonts w:ascii="Arial" w:hAnsi="Arial" w:cs="Arial"/>
                <w:sz w:val="18"/>
                <w:szCs w:val="22"/>
              </w:rPr>
            </w:pPr>
            <w:r>
              <w:rPr>
                <w:rFonts w:cs="Arial" w:ascii="Arial" w:hAnsi="Arial"/>
                <w:sz w:val="18"/>
                <w:szCs w:val="22"/>
              </w:rPr>
              <w:t>Start / zatrzymanie samochodu ciężarowego</w:t>
            </w:r>
          </w:p>
        </w:tc>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keepNext/>
              <w:spacing w:before="40" w:after="40"/>
              <w:ind w:hanging="0"/>
              <w:jc w:val="center"/>
              <w:rPr>
                <w:rFonts w:ascii="Arial" w:hAnsi="Arial" w:cs="Arial"/>
                <w:sz w:val="18"/>
                <w:szCs w:val="22"/>
              </w:rPr>
            </w:pPr>
            <w:r>
              <w:rPr>
                <w:rFonts w:cs="Arial" w:ascii="Arial" w:hAnsi="Arial"/>
                <w:sz w:val="18"/>
                <w:szCs w:val="22"/>
              </w:rPr>
              <w:t>3</w:t>
            </w:r>
          </w:p>
        </w:tc>
        <w:tc>
          <w:tcPr>
            <w:tcW w:w="141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keepNext/>
              <w:spacing w:before="40" w:after="40"/>
              <w:ind w:hanging="0"/>
              <w:jc w:val="center"/>
              <w:rPr>
                <w:rFonts w:ascii="Arial" w:hAnsi="Arial" w:cs="Arial"/>
                <w:sz w:val="18"/>
                <w:szCs w:val="22"/>
              </w:rPr>
            </w:pPr>
            <w:r>
              <w:rPr>
                <w:rFonts w:cs="Arial" w:ascii="Arial" w:hAnsi="Arial"/>
                <w:sz w:val="18"/>
                <w:szCs w:val="22"/>
              </w:rPr>
              <w:t>0,25</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keepNext/>
              <w:spacing w:before="40" w:after="40"/>
              <w:ind w:hanging="0"/>
              <w:jc w:val="center"/>
              <w:rPr>
                <w:rFonts w:ascii="Arial" w:hAnsi="Arial" w:cs="Arial"/>
                <w:sz w:val="18"/>
                <w:szCs w:val="22"/>
              </w:rPr>
            </w:pPr>
            <w:r>
              <w:rPr>
                <w:rFonts w:cs="Arial" w:ascii="Arial" w:hAnsi="Arial"/>
                <w:b/>
                <w:bCs/>
                <w:sz w:val="18"/>
                <w:szCs w:val="22"/>
              </w:rPr>
              <w:t>68,8</w:t>
            </w:r>
          </w:p>
        </w:tc>
      </w:tr>
    </w:tbl>
    <w:p>
      <w:pPr>
        <w:pStyle w:val="Normal"/>
        <w:rPr>
          <w:color w:val="0000FF"/>
        </w:rPr>
      </w:pPr>
      <w:r>
        <w:rPr>
          <w:color w:val="0000FF"/>
        </w:rPr>
      </w:r>
    </w:p>
    <w:p>
      <w:pPr>
        <w:pStyle w:val="Nagwek4"/>
        <w:numPr>
          <w:ilvl w:val="3"/>
          <w:numId w:val="2"/>
        </w:numPr>
        <w:ind w:hanging="992"/>
        <w:rPr/>
      </w:pPr>
      <w:bookmarkStart w:id="121" w:name="_Toc515353854"/>
      <w:r>
        <w:rPr/>
        <w:t xml:space="preserve"> </w:t>
      </w:r>
      <w:bookmarkEnd w:id="121"/>
      <w:r>
        <w:rPr/>
        <w:t>Ekrany akustyczne</w:t>
      </w:r>
    </w:p>
    <w:p>
      <w:pPr>
        <w:pStyle w:val="Normal"/>
        <w:rPr/>
      </w:pPr>
      <w:bookmarkStart w:id="122" w:name="_Toc437503357"/>
      <w:bookmarkEnd w:id="122"/>
      <w:r>
        <w:rPr/>
        <w:t>Jako ekrany akustyczny potraktowano następujące obiekty:</w:t>
      </w:r>
    </w:p>
    <w:p>
      <w:pPr>
        <w:pStyle w:val="NormalWeb"/>
        <w:numPr>
          <w:ilvl w:val="0"/>
          <w:numId w:val="74"/>
        </w:numPr>
        <w:spacing w:beforeAutospacing="0" w:before="0" w:afterAutospacing="0" w:after="0"/>
        <w:ind w:left="709" w:hanging="312"/>
        <w:rPr/>
      </w:pPr>
      <w:r>
        <w:rPr/>
        <w:t>pomieszczenie techniczne,</w:t>
      </w:r>
    </w:p>
    <w:p>
      <w:pPr>
        <w:pStyle w:val="NormalWeb"/>
        <w:numPr>
          <w:ilvl w:val="0"/>
          <w:numId w:val="74"/>
        </w:numPr>
        <w:spacing w:beforeAutospacing="0" w:before="0" w:afterAutospacing="0" w:after="0"/>
        <w:ind w:left="709" w:hanging="312"/>
        <w:rPr/>
      </w:pPr>
      <w:r>
        <w:rPr/>
        <w:t>pomieszczenia na pyły,</w:t>
      </w:r>
    </w:p>
    <w:p>
      <w:pPr>
        <w:pStyle w:val="NormalWeb"/>
        <w:numPr>
          <w:ilvl w:val="0"/>
          <w:numId w:val="74"/>
        </w:numPr>
        <w:spacing w:beforeAutospacing="0" w:before="0" w:afterAutospacing="0" w:after="0"/>
        <w:ind w:left="709" w:hanging="312"/>
        <w:rPr/>
      </w:pPr>
      <w:r>
        <w:rPr/>
        <w:t>biuro.</w:t>
      </w:r>
    </w:p>
    <w:p>
      <w:pPr>
        <w:pStyle w:val="Normal"/>
        <w:rPr/>
      </w:pPr>
      <w:r>
        <w:rPr/>
        <w:t>Ich wysokości oraz symbole w programie HPZ 2001 prezentuje poniższa tabela.</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49</w:t>
      </w:r>
      <w:r>
        <w:fldChar w:fldCharType="end"/>
      </w:r>
      <w:r>
        <w:rPr/>
        <w:t>.</w:t>
      </w:r>
      <w:bookmarkStart w:id="123" w:name="_Ref423604495"/>
      <w:bookmarkEnd w:id="123"/>
      <w:r>
        <w:rPr>
          <w:b w:val="false"/>
        </w:rPr>
        <w:t xml:space="preserve"> Ekrany akustyczne</w:t>
      </w:r>
    </w:p>
    <w:tbl>
      <w:tblPr>
        <w:tblStyle w:val="Tabela-Siatka"/>
        <w:tblW w:w="9494" w:type="dxa"/>
        <w:jc w:val="left"/>
        <w:tblInd w:w="0" w:type="dxa"/>
        <w:tblCellMar>
          <w:top w:w="0" w:type="dxa"/>
          <w:left w:w="108" w:type="dxa"/>
          <w:bottom w:w="0" w:type="dxa"/>
          <w:right w:w="108" w:type="dxa"/>
        </w:tblCellMar>
        <w:tblLook w:firstRow="1" w:noVBand="1" w:lastRow="0" w:firstColumn="1" w:lastColumn="0" w:noHBand="0" w:val="04a0"/>
      </w:tblPr>
      <w:tblGrid>
        <w:gridCol w:w="3227"/>
        <w:gridCol w:w="3685"/>
        <w:gridCol w:w="2582"/>
      </w:tblGrid>
      <w:tr>
        <w:trPr/>
        <w:tc>
          <w:tcPr>
            <w:tcW w:w="3227"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Symbol  programie HPZ 2001</w:t>
            </w:r>
          </w:p>
        </w:tc>
        <w:tc>
          <w:tcPr>
            <w:tcW w:w="3685" w:type="dxa"/>
            <w:tcBorders/>
            <w:shd w:color="auto" w:fill="D9D9D9" w:themeFill="background1" w:themeFillShade="d9" w:val="clear"/>
            <w:tcMar>
              <w:left w:w="108" w:type="dxa"/>
            </w:tcMar>
            <w:vAlign w:val="center"/>
          </w:tcPr>
          <w:p>
            <w:pPr>
              <w:pStyle w:val="Normal"/>
              <w:keepNext/>
              <w:spacing w:lineRule="auto" w:line="240" w:before="40" w:after="40"/>
              <w:ind w:left="397" w:hanging="0"/>
              <w:jc w:val="center"/>
              <w:rPr>
                <w:rFonts w:ascii="Arial" w:hAnsi="Arial" w:cs="Arial"/>
                <w:b/>
                <w:b/>
                <w:sz w:val="18"/>
                <w:szCs w:val="22"/>
              </w:rPr>
            </w:pPr>
            <w:r>
              <w:rPr>
                <w:rFonts w:cs="Arial" w:ascii="Arial" w:hAnsi="Arial"/>
                <w:b/>
                <w:sz w:val="18"/>
                <w:szCs w:val="22"/>
              </w:rPr>
              <w:t>Nazwa ekranu</w:t>
            </w:r>
          </w:p>
        </w:tc>
        <w:tc>
          <w:tcPr>
            <w:tcW w:w="2582" w:type="dxa"/>
            <w:tcBorders/>
            <w:shd w:color="auto" w:fill="D9D9D9" w:themeFill="background1" w:themeFillShade="d9" w:val="clear"/>
            <w:tcMar>
              <w:left w:w="108" w:type="dxa"/>
            </w:tcMar>
            <w:vAlign w:val="center"/>
          </w:tcPr>
          <w:p>
            <w:pPr>
              <w:pStyle w:val="Normal"/>
              <w:keepNext/>
              <w:spacing w:lineRule="auto" w:line="240" w:before="40" w:after="40"/>
              <w:ind w:left="397" w:hanging="0"/>
              <w:jc w:val="center"/>
              <w:rPr>
                <w:rFonts w:ascii="Arial" w:hAnsi="Arial" w:cs="Arial"/>
                <w:b/>
                <w:b/>
                <w:sz w:val="18"/>
                <w:szCs w:val="22"/>
              </w:rPr>
            </w:pPr>
            <w:r>
              <w:rPr>
                <w:rFonts w:cs="Arial" w:ascii="Arial" w:hAnsi="Arial"/>
                <w:b/>
                <w:sz w:val="18"/>
                <w:szCs w:val="22"/>
              </w:rPr>
              <w:t>Wysokość [m]</w:t>
            </w:r>
          </w:p>
        </w:tc>
      </w:tr>
      <w:tr>
        <w:trPr/>
        <w:tc>
          <w:tcPr>
            <w:tcW w:w="3227"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E1</w:t>
            </w:r>
          </w:p>
        </w:tc>
        <w:tc>
          <w:tcPr>
            <w:tcW w:w="3685" w:type="dxa"/>
            <w:tcBorders/>
            <w:shd w:fill="auto" w:val="clear"/>
            <w:tcMar>
              <w:left w:w="108" w:type="dxa"/>
            </w:tcMar>
            <w:vAlign w:val="center"/>
          </w:tcPr>
          <w:p>
            <w:pPr>
              <w:pStyle w:val="Normal"/>
              <w:spacing w:lineRule="auto" w:line="240" w:before="40" w:after="40"/>
              <w:ind w:left="397" w:hanging="0"/>
              <w:rPr>
                <w:rFonts w:ascii="Arial" w:hAnsi="Arial" w:cs="Arial"/>
                <w:sz w:val="18"/>
                <w:szCs w:val="22"/>
              </w:rPr>
            </w:pPr>
            <w:r>
              <w:rPr>
                <w:rFonts w:cs="Arial" w:ascii="Arial" w:hAnsi="Arial"/>
                <w:sz w:val="18"/>
                <w:szCs w:val="22"/>
              </w:rPr>
              <w:t>Magazyn zapasowy</w:t>
            </w:r>
          </w:p>
        </w:tc>
        <w:tc>
          <w:tcPr>
            <w:tcW w:w="2582"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9</w:t>
            </w:r>
          </w:p>
        </w:tc>
      </w:tr>
      <w:tr>
        <w:trPr/>
        <w:tc>
          <w:tcPr>
            <w:tcW w:w="3227"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E2</w:t>
            </w:r>
          </w:p>
        </w:tc>
        <w:tc>
          <w:tcPr>
            <w:tcW w:w="3685" w:type="dxa"/>
            <w:tcBorders/>
            <w:shd w:fill="auto" w:val="clear"/>
            <w:tcMar>
              <w:left w:w="108" w:type="dxa"/>
            </w:tcMar>
            <w:vAlign w:val="center"/>
          </w:tcPr>
          <w:p>
            <w:pPr>
              <w:pStyle w:val="Normal"/>
              <w:spacing w:lineRule="auto" w:line="240" w:before="40" w:after="40"/>
              <w:ind w:left="397" w:hanging="0"/>
              <w:rPr>
                <w:rFonts w:ascii="Arial" w:hAnsi="Arial" w:cs="Arial"/>
                <w:sz w:val="18"/>
                <w:szCs w:val="22"/>
              </w:rPr>
            </w:pPr>
            <w:r>
              <w:rPr>
                <w:rFonts w:cs="Arial" w:ascii="Arial" w:hAnsi="Arial"/>
                <w:sz w:val="18"/>
                <w:szCs w:val="22"/>
              </w:rPr>
              <w:t>Biuro, magazyn, pomieszczenie na olej</w:t>
            </w:r>
          </w:p>
        </w:tc>
        <w:tc>
          <w:tcPr>
            <w:tcW w:w="2582"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4,5</w:t>
            </w:r>
          </w:p>
        </w:tc>
      </w:tr>
      <w:tr>
        <w:trPr/>
        <w:tc>
          <w:tcPr>
            <w:tcW w:w="3227"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E3</w:t>
            </w:r>
          </w:p>
        </w:tc>
        <w:tc>
          <w:tcPr>
            <w:tcW w:w="3685" w:type="dxa"/>
            <w:tcBorders/>
            <w:shd w:fill="auto" w:val="clear"/>
            <w:tcMar>
              <w:left w:w="108" w:type="dxa"/>
            </w:tcMar>
            <w:vAlign w:val="center"/>
          </w:tcPr>
          <w:p>
            <w:pPr>
              <w:pStyle w:val="Normal"/>
              <w:spacing w:lineRule="auto" w:line="240" w:before="40" w:after="40"/>
              <w:ind w:left="397" w:hanging="0"/>
              <w:rPr>
                <w:rFonts w:ascii="Arial" w:hAnsi="Arial" w:cs="Arial"/>
                <w:sz w:val="18"/>
                <w:szCs w:val="22"/>
              </w:rPr>
            </w:pPr>
            <w:r>
              <w:rPr>
                <w:rFonts w:cs="Arial" w:ascii="Arial" w:hAnsi="Arial"/>
                <w:sz w:val="18"/>
                <w:szCs w:val="22"/>
              </w:rPr>
              <w:t>Pomieszczenia na pyły nr 1</w:t>
            </w:r>
          </w:p>
        </w:tc>
        <w:tc>
          <w:tcPr>
            <w:tcW w:w="2582"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4,5</w:t>
            </w:r>
          </w:p>
        </w:tc>
      </w:tr>
      <w:tr>
        <w:trPr/>
        <w:tc>
          <w:tcPr>
            <w:tcW w:w="3227"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E4</w:t>
            </w:r>
          </w:p>
        </w:tc>
        <w:tc>
          <w:tcPr>
            <w:tcW w:w="3685" w:type="dxa"/>
            <w:tcBorders/>
            <w:shd w:fill="auto" w:val="clear"/>
            <w:tcMar>
              <w:left w:w="108" w:type="dxa"/>
            </w:tcMar>
            <w:vAlign w:val="center"/>
          </w:tcPr>
          <w:p>
            <w:pPr>
              <w:pStyle w:val="Normal"/>
              <w:spacing w:lineRule="auto" w:line="240" w:before="40" w:after="40"/>
              <w:ind w:left="397" w:hanging="0"/>
              <w:rPr>
                <w:rFonts w:ascii="Arial" w:hAnsi="Arial" w:cs="Arial"/>
                <w:sz w:val="18"/>
                <w:szCs w:val="22"/>
              </w:rPr>
            </w:pPr>
            <w:r>
              <w:rPr>
                <w:rFonts w:cs="Arial" w:ascii="Arial" w:hAnsi="Arial"/>
                <w:sz w:val="18"/>
                <w:szCs w:val="22"/>
              </w:rPr>
              <w:t>Pomieszczenia na pyły nr 2</w:t>
            </w:r>
          </w:p>
        </w:tc>
        <w:tc>
          <w:tcPr>
            <w:tcW w:w="2582"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4,5</w:t>
            </w:r>
          </w:p>
        </w:tc>
      </w:tr>
    </w:tbl>
    <w:p>
      <w:pPr>
        <w:pStyle w:val="Normal"/>
        <w:rPr/>
      </w:pPr>
      <w:r>
        <w:rPr/>
      </w:r>
    </w:p>
    <w:p>
      <w:pPr>
        <w:pStyle w:val="Nagwek4"/>
        <w:numPr>
          <w:ilvl w:val="3"/>
          <w:numId w:val="2"/>
        </w:numPr>
        <w:ind w:hanging="992"/>
        <w:rPr/>
      </w:pPr>
      <w:bookmarkStart w:id="124" w:name="_Toc437503357"/>
      <w:bookmarkStart w:id="125" w:name="_Toc515353855"/>
      <w:bookmarkEnd w:id="124"/>
      <w:r>
        <w:rPr/>
        <w:t xml:space="preserve"> </w:t>
      </w:r>
      <w:bookmarkEnd w:id="125"/>
      <w:r>
        <w:rPr/>
        <w:t>Obliczenia</w:t>
      </w:r>
    </w:p>
    <w:p>
      <w:pPr>
        <w:pStyle w:val="Normal"/>
        <w:rPr/>
      </w:pPr>
      <w:r>
        <w:rPr/>
        <w:t>Obliczenia wykonano przy użyciu programu HPZ2001, w oparciu o Instrukcję ITB nr 338/2003 „</w:t>
      </w:r>
      <w:r>
        <w:rPr>
          <w:i/>
        </w:rPr>
        <w:t>Metoda określania emisji i imisji hałasu przemysłowego w środowisku</w:t>
      </w:r>
      <w:r>
        <w:rPr/>
        <w:t>”. Parametry siatki obliczeniowej przedstawiono w poniższej tabeli.</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50</w:t>
      </w:r>
      <w:r>
        <w:fldChar w:fldCharType="end"/>
      </w:r>
      <w:r>
        <w:rPr/>
        <w:t>.</w:t>
      </w:r>
      <w:r>
        <w:rPr>
          <w:b w:val="false"/>
        </w:rPr>
        <w:t xml:space="preserve"> Parametry siatki obliczeniowej</w:t>
      </w:r>
    </w:p>
    <w:tbl>
      <w:tblPr>
        <w:tblStyle w:val="Tabela-Siatka"/>
        <w:tblW w:w="9465" w:type="dxa"/>
        <w:jc w:val="left"/>
        <w:tblInd w:w="0" w:type="dxa"/>
        <w:tblCellMar>
          <w:top w:w="0" w:type="dxa"/>
          <w:left w:w="108" w:type="dxa"/>
          <w:bottom w:w="0" w:type="dxa"/>
          <w:right w:w="108" w:type="dxa"/>
        </w:tblCellMar>
        <w:tblLook w:firstRow="1" w:noVBand="0" w:lastRow="1" w:firstColumn="1" w:lastColumn="1" w:noHBand="0" w:val="01e0"/>
      </w:tblPr>
      <w:tblGrid>
        <w:gridCol w:w="1183"/>
        <w:gridCol w:w="1183"/>
        <w:gridCol w:w="1183"/>
        <w:gridCol w:w="1183"/>
        <w:gridCol w:w="1183"/>
        <w:gridCol w:w="1183"/>
        <w:gridCol w:w="1183"/>
        <w:gridCol w:w="1182"/>
      </w:tblGrid>
      <w:tr>
        <w:trPr/>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Xmin[m]</w:t>
            </w:r>
          </w:p>
        </w:tc>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Xmax[m]</w:t>
            </w:r>
          </w:p>
        </w:tc>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Ymin[m]</w:t>
            </w:r>
          </w:p>
        </w:tc>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Ymax[m]</w:t>
            </w:r>
          </w:p>
        </w:tc>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dx[m]</w:t>
            </w:r>
          </w:p>
        </w:tc>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dy[m]</w:t>
            </w:r>
          </w:p>
        </w:tc>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z[m]</w:t>
            </w:r>
          </w:p>
        </w:tc>
        <w:tc>
          <w:tcPr>
            <w:tcW w:w="1182"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Ltła[dB]</w:t>
            </w:r>
          </w:p>
        </w:tc>
      </w:tr>
      <w:tr>
        <w:trPr/>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0,0</w:t>
            </w:r>
          </w:p>
        </w:tc>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570,0</w:t>
            </w:r>
          </w:p>
        </w:tc>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0,0</w:t>
            </w:r>
          </w:p>
        </w:tc>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420,0</w:t>
            </w:r>
          </w:p>
        </w:tc>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10,0</w:t>
            </w:r>
          </w:p>
        </w:tc>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10,0</w:t>
            </w:r>
          </w:p>
        </w:tc>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4,0</w:t>
            </w:r>
          </w:p>
        </w:tc>
        <w:tc>
          <w:tcPr>
            <w:tcW w:w="1182"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0,00</w:t>
            </w:r>
          </w:p>
        </w:tc>
      </w:tr>
    </w:tbl>
    <w:p>
      <w:pPr>
        <w:pStyle w:val="Normal"/>
        <w:rPr/>
      </w:pPr>
      <w:r>
        <w:rPr/>
      </w:r>
    </w:p>
    <w:p>
      <w:pPr>
        <w:pStyle w:val="Normal"/>
        <w:rPr/>
      </w:pPr>
      <w:r>
        <w:rPr/>
        <w:t>Obliczenia wykonano dla pory dnia i dla pory nocy.</w:t>
      </w:r>
    </w:p>
    <w:p>
      <w:pPr>
        <w:pStyle w:val="Normal"/>
        <w:rPr/>
      </w:pPr>
      <w:r>
        <w:rPr/>
      </w:r>
    </w:p>
    <w:p>
      <w:pPr>
        <w:pStyle w:val="Nagwek4"/>
        <w:numPr>
          <w:ilvl w:val="3"/>
          <w:numId w:val="2"/>
        </w:numPr>
        <w:ind w:hanging="992"/>
        <w:rPr/>
      </w:pPr>
      <w:bookmarkStart w:id="126" w:name="_Toc515353856"/>
      <w:bookmarkEnd w:id="126"/>
      <w:r>
        <w:rPr/>
        <w:t>Wnioski</w:t>
      </w:r>
    </w:p>
    <w:p>
      <w:pPr>
        <w:pStyle w:val="Normal"/>
        <w:rPr/>
      </w:pPr>
      <w:r>
        <w:rPr/>
        <w:t xml:space="preserve">W poniższej tabeli przedstawiono porównanie maksymalnego poziomu dźwięku, otrzymanego na granicy terenów chronionych akustycznie, w wyniku wykonanej propagacji hałasu, z wartościami dopuszczalnymi, określonymi w Rozporządzeniu Ministra Środowiska z dnia 14 czerwca 2007 r. </w:t>
      </w:r>
      <w:r>
        <w:rPr>
          <w:i/>
        </w:rPr>
        <w:t xml:space="preserve">w sprawie dopuszczalnych poziomów hałasu w środowisku </w:t>
      </w:r>
      <w:r>
        <w:rPr/>
        <w:t xml:space="preserve">(Dz.U.2014, poz. 112). </w:t>
      </w:r>
    </w:p>
    <w:p>
      <w:pPr>
        <w:pStyle w:val="Normal"/>
        <w:rPr/>
      </w:pPr>
      <w:r>
        <w:rPr/>
        <w:t>Wydruki z programu HPZ2001, za pomocą którego wykonano modelowanie rozprzestrzeniania się hałasu w środowisku, zamieszczono w załącznikach nr 6 i 7.</w:t>
      </w:r>
    </w:p>
    <w:p>
      <w:pPr>
        <w:pStyle w:val="Caption"/>
        <w:keepNext/>
        <w:jc w:val="left"/>
        <w:rPr/>
      </w:pPr>
      <w:r>
        <w:rPr/>
        <w:t xml:space="preserve">Tabela </w:t>
      </w:r>
      <w:r>
        <w:rPr/>
        <w:fldChar w:fldCharType="begin"/>
      </w:r>
      <w:r>
        <w:instrText> SEQ Tabela \* ARABIC </w:instrText>
      </w:r>
      <w:r>
        <w:fldChar w:fldCharType="separate"/>
      </w:r>
      <w:r>
        <w:t>51</w:t>
      </w:r>
      <w:r>
        <w:fldChar w:fldCharType="end"/>
      </w:r>
      <w:r>
        <w:rPr/>
        <w:t>.</w:t>
      </w:r>
      <w:r>
        <w:rPr>
          <w:b w:val="false"/>
        </w:rPr>
        <w:t xml:space="preserve"> Porównanie uzyskanych maksymalnych poziomów hałasu z wartością dopuszczalną</w:t>
        <w:br/>
      </w:r>
      <w:r>
        <w:rPr>
          <w:b w:val="false"/>
          <w:u w:val="single"/>
        </w:rPr>
        <w:t>dla pory dnia</w:t>
      </w:r>
    </w:p>
    <w:tbl>
      <w:tblPr>
        <w:tblStyle w:val="Tabela-Siatka"/>
        <w:tblW w:w="9356" w:type="dxa"/>
        <w:jc w:val="left"/>
        <w:tblInd w:w="108" w:type="dxa"/>
        <w:tblCellMar>
          <w:top w:w="0" w:type="dxa"/>
          <w:left w:w="108" w:type="dxa"/>
          <w:bottom w:w="0" w:type="dxa"/>
          <w:right w:w="108" w:type="dxa"/>
        </w:tblCellMar>
        <w:tblLook w:firstRow="1" w:noVBand="0" w:lastRow="1" w:firstColumn="1" w:lastColumn="1" w:noHBand="0" w:val="01e0"/>
      </w:tblPr>
      <w:tblGrid>
        <w:gridCol w:w="3968"/>
        <w:gridCol w:w="3687"/>
        <w:gridCol w:w="1701"/>
      </w:tblGrid>
      <w:tr>
        <w:trPr/>
        <w:tc>
          <w:tcPr>
            <w:tcW w:w="3968"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Tereny chronione akustycznie</w:t>
            </w:r>
          </w:p>
        </w:tc>
        <w:tc>
          <w:tcPr>
            <w:tcW w:w="3687"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 xml:space="preserve">Dopuszczalny poziom hałasu dla przedziału czasu odniesienia równego 8 najmniej korzystnym godzinom </w:t>
            </w:r>
            <w:r>
              <w:rPr>
                <w:rFonts w:cs="Arial" w:ascii="Arial" w:hAnsi="Arial"/>
                <w:b/>
                <w:color w:val="000000"/>
                <w:sz w:val="18"/>
                <w:szCs w:val="22"/>
                <w:u w:val="single"/>
              </w:rPr>
              <w:t>dnia</w:t>
            </w:r>
            <w:r>
              <w:rPr>
                <w:rFonts w:cs="Arial" w:ascii="Arial" w:hAnsi="Arial"/>
                <w:b/>
                <w:color w:val="000000"/>
                <w:sz w:val="18"/>
                <w:szCs w:val="22"/>
              </w:rPr>
              <w:t xml:space="preserve"> kolejno po sobie następującym</w:t>
            </w:r>
          </w:p>
        </w:tc>
        <w:tc>
          <w:tcPr>
            <w:tcW w:w="1701"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Wartość otrzymana z obliczeń [dB]</w:t>
            </w:r>
          </w:p>
        </w:tc>
      </w:tr>
      <w:tr>
        <w:trPr/>
        <w:tc>
          <w:tcPr>
            <w:tcW w:w="3968" w:type="dxa"/>
            <w:tcBorders/>
            <w:shd w:fill="auto" w:val="clear"/>
            <w:tcMar>
              <w:left w:w="108" w:type="dxa"/>
            </w:tcMar>
            <w:vAlign w:val="center"/>
          </w:tcPr>
          <w:p>
            <w:pPr>
              <w:pStyle w:val="Normal"/>
              <w:spacing w:lineRule="auto" w:line="240" w:before="40" w:after="40"/>
              <w:ind w:left="397" w:hanging="0"/>
              <w:jc w:val="left"/>
              <w:rPr>
                <w:rFonts w:ascii="Arial" w:hAnsi="Arial" w:cs="Arial"/>
                <w:sz w:val="18"/>
                <w:szCs w:val="22"/>
              </w:rPr>
            </w:pPr>
            <w:r>
              <w:rPr>
                <w:rFonts w:cs="Arial" w:ascii="Arial" w:hAnsi="Arial"/>
                <w:sz w:val="18"/>
                <w:szCs w:val="22"/>
              </w:rPr>
              <w:t>MN2 – tereny zabudowy mieszkaniowej jednorodzinnej z usługami w budynkach oraz wolnostojącymi</w:t>
            </w:r>
          </w:p>
        </w:tc>
        <w:tc>
          <w:tcPr>
            <w:tcW w:w="3687"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50</w:t>
            </w:r>
          </w:p>
        </w:tc>
        <w:tc>
          <w:tcPr>
            <w:tcW w:w="1701"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28,1</w:t>
            </w:r>
          </w:p>
        </w:tc>
      </w:tr>
      <w:tr>
        <w:trPr/>
        <w:tc>
          <w:tcPr>
            <w:tcW w:w="3968" w:type="dxa"/>
            <w:tcBorders/>
            <w:shd w:fill="auto" w:val="clear"/>
            <w:tcMar>
              <w:left w:w="108" w:type="dxa"/>
            </w:tcMar>
            <w:vAlign w:val="center"/>
          </w:tcPr>
          <w:p>
            <w:pPr>
              <w:pStyle w:val="Normal"/>
              <w:spacing w:lineRule="auto" w:line="240" w:before="40" w:after="40"/>
              <w:ind w:left="397" w:hanging="0"/>
              <w:jc w:val="left"/>
              <w:rPr>
                <w:rFonts w:ascii="Arial" w:hAnsi="Arial" w:cs="Arial"/>
                <w:sz w:val="18"/>
                <w:szCs w:val="22"/>
              </w:rPr>
            </w:pPr>
            <w:r>
              <w:rPr>
                <w:rFonts w:cs="Arial" w:ascii="Arial" w:hAnsi="Arial"/>
                <w:sz w:val="18"/>
                <w:szCs w:val="22"/>
              </w:rPr>
              <w:t>MW2 – tereny zabudowy mieszkaniowej wielorodzinnej</w:t>
            </w:r>
          </w:p>
        </w:tc>
        <w:tc>
          <w:tcPr>
            <w:tcW w:w="3687"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55</w:t>
            </w:r>
          </w:p>
        </w:tc>
        <w:tc>
          <w:tcPr>
            <w:tcW w:w="1701"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29,1</w:t>
            </w:r>
          </w:p>
        </w:tc>
      </w:tr>
    </w:tbl>
    <w:p>
      <w:pPr>
        <w:pStyle w:val="Normal"/>
        <w:rPr>
          <w:b/>
          <w:b/>
          <w:color w:val="0000FF"/>
          <w:sz w:val="22"/>
          <w:szCs w:val="22"/>
          <w:u w:val="single"/>
        </w:rPr>
      </w:pPr>
      <w:r>
        <w:rPr>
          <w:b/>
          <w:color w:val="0000FF"/>
          <w:sz w:val="22"/>
          <w:szCs w:val="22"/>
          <w:u w:val="single"/>
        </w:rPr>
      </w:r>
    </w:p>
    <w:p>
      <w:pPr>
        <w:pStyle w:val="Caption"/>
        <w:keepNext/>
        <w:jc w:val="left"/>
        <w:rPr/>
      </w:pPr>
      <w:r>
        <w:rPr/>
        <w:t xml:space="preserve">Tabela </w:t>
      </w:r>
      <w:r>
        <w:rPr/>
        <w:fldChar w:fldCharType="begin"/>
      </w:r>
      <w:r>
        <w:instrText> SEQ Tabela \* ARABIC </w:instrText>
      </w:r>
      <w:r>
        <w:fldChar w:fldCharType="separate"/>
      </w:r>
      <w:r>
        <w:t>52</w:t>
      </w:r>
      <w:r>
        <w:fldChar w:fldCharType="end"/>
      </w:r>
      <w:r>
        <w:rPr/>
        <w:t>.</w:t>
      </w:r>
      <w:r>
        <w:rPr>
          <w:b w:val="false"/>
        </w:rPr>
        <w:t xml:space="preserve"> Porównanie uzyskanych maksymalnych poziomów hałasu z wartością dopuszczalną</w:t>
        <w:br/>
      </w:r>
      <w:r>
        <w:rPr>
          <w:b w:val="false"/>
          <w:u w:val="single"/>
        </w:rPr>
        <w:t>dla pory nocy</w:t>
      </w:r>
    </w:p>
    <w:tbl>
      <w:tblPr>
        <w:tblStyle w:val="Tabela-Siatka"/>
        <w:tblW w:w="9356" w:type="dxa"/>
        <w:jc w:val="left"/>
        <w:tblInd w:w="108" w:type="dxa"/>
        <w:tblCellMar>
          <w:top w:w="0" w:type="dxa"/>
          <w:left w:w="108" w:type="dxa"/>
          <w:bottom w:w="0" w:type="dxa"/>
          <w:right w:w="108" w:type="dxa"/>
        </w:tblCellMar>
        <w:tblLook w:firstRow="1" w:noVBand="0" w:lastRow="1" w:firstColumn="1" w:lastColumn="1" w:noHBand="0" w:val="01e0"/>
      </w:tblPr>
      <w:tblGrid>
        <w:gridCol w:w="3968"/>
        <w:gridCol w:w="3687"/>
        <w:gridCol w:w="1701"/>
      </w:tblGrid>
      <w:tr>
        <w:trPr/>
        <w:tc>
          <w:tcPr>
            <w:tcW w:w="3968"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Tereny chronione akustycznie</w:t>
            </w:r>
          </w:p>
        </w:tc>
        <w:tc>
          <w:tcPr>
            <w:tcW w:w="3687"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Dopuszczalny poziom hałasu dla przedziału czasu odniesienia równego 1 najmniej korzystnej godzinie nocy</w:t>
            </w:r>
          </w:p>
        </w:tc>
        <w:tc>
          <w:tcPr>
            <w:tcW w:w="1701"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Wartość otrzymana z obliczeń [dB]</w:t>
            </w:r>
          </w:p>
        </w:tc>
      </w:tr>
      <w:tr>
        <w:trPr/>
        <w:tc>
          <w:tcPr>
            <w:tcW w:w="3968" w:type="dxa"/>
            <w:tcBorders/>
            <w:shd w:fill="auto" w:val="clear"/>
            <w:tcMar>
              <w:left w:w="108" w:type="dxa"/>
            </w:tcMar>
            <w:vAlign w:val="center"/>
          </w:tcPr>
          <w:p>
            <w:pPr>
              <w:pStyle w:val="Normal"/>
              <w:spacing w:lineRule="auto" w:line="240" w:before="40" w:after="40"/>
              <w:ind w:left="397" w:hanging="0"/>
              <w:jc w:val="left"/>
              <w:rPr>
                <w:rFonts w:ascii="Arial" w:hAnsi="Arial" w:cs="Arial"/>
                <w:sz w:val="18"/>
                <w:szCs w:val="22"/>
              </w:rPr>
            </w:pPr>
            <w:r>
              <w:rPr>
                <w:rFonts w:cs="Arial" w:ascii="Arial" w:hAnsi="Arial"/>
                <w:sz w:val="18"/>
                <w:szCs w:val="22"/>
              </w:rPr>
              <w:t>MN2 – tereny zabudowy mieszkaniowej jednorodzinnej z usługami w budynkach oraz wolnostojącymi</w:t>
            </w:r>
          </w:p>
        </w:tc>
        <w:tc>
          <w:tcPr>
            <w:tcW w:w="3687"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40</w:t>
            </w:r>
          </w:p>
        </w:tc>
        <w:tc>
          <w:tcPr>
            <w:tcW w:w="1701"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27,3</w:t>
            </w:r>
          </w:p>
        </w:tc>
      </w:tr>
      <w:tr>
        <w:trPr/>
        <w:tc>
          <w:tcPr>
            <w:tcW w:w="3968" w:type="dxa"/>
            <w:tcBorders/>
            <w:shd w:fill="auto" w:val="clear"/>
            <w:tcMar>
              <w:left w:w="108" w:type="dxa"/>
            </w:tcMar>
            <w:vAlign w:val="center"/>
          </w:tcPr>
          <w:p>
            <w:pPr>
              <w:pStyle w:val="Normal"/>
              <w:spacing w:lineRule="auto" w:line="240" w:before="40" w:after="40"/>
              <w:ind w:left="397" w:hanging="0"/>
              <w:jc w:val="left"/>
              <w:rPr>
                <w:rFonts w:ascii="Arial" w:hAnsi="Arial" w:cs="Arial"/>
                <w:sz w:val="18"/>
                <w:szCs w:val="22"/>
              </w:rPr>
            </w:pPr>
            <w:r>
              <w:rPr>
                <w:rFonts w:cs="Arial" w:ascii="Arial" w:hAnsi="Arial"/>
                <w:sz w:val="18"/>
                <w:szCs w:val="22"/>
              </w:rPr>
              <w:t>MW2 – tereny zabudowy mieszkaniowej wielorodzinnej</w:t>
            </w:r>
          </w:p>
        </w:tc>
        <w:tc>
          <w:tcPr>
            <w:tcW w:w="3687"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45</w:t>
            </w:r>
          </w:p>
        </w:tc>
        <w:tc>
          <w:tcPr>
            <w:tcW w:w="1701"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28,4</w:t>
            </w:r>
          </w:p>
        </w:tc>
      </w:tr>
    </w:tbl>
    <w:p>
      <w:pPr>
        <w:pStyle w:val="Normal"/>
        <w:rPr/>
      </w:pPr>
      <w:r>
        <w:rPr/>
      </w:r>
    </w:p>
    <w:p>
      <w:pPr>
        <w:pStyle w:val="Normal"/>
        <w:rPr/>
      </w:pPr>
      <w:r>
        <w:rPr/>
        <w:t xml:space="preserve">Nie będą zatem przekraczane dopuszczalne normy, określone w Rozporządzeniu Ministra Środowiska z dnia 14 czerwca 2007 r. </w:t>
      </w:r>
      <w:r>
        <w:rPr>
          <w:i/>
        </w:rPr>
        <w:t>w sprawie dopuszczalnych poziomów hałasu w środowisku</w:t>
      </w:r>
      <w:r>
        <w:rPr/>
        <w:t xml:space="preserve"> (Dz. U. Nr 120, poz. 826 z późn. zm).</w:t>
      </w:r>
    </w:p>
    <w:p>
      <w:pPr>
        <w:pStyle w:val="Normal"/>
        <w:rPr/>
      </w:pPr>
      <w:r>
        <w:rPr/>
      </w:r>
    </w:p>
    <w:p>
      <w:pPr>
        <w:pStyle w:val="Nagwek3"/>
        <w:numPr>
          <w:ilvl w:val="2"/>
          <w:numId w:val="2"/>
        </w:numPr>
        <w:ind w:hanging="851"/>
        <w:rPr/>
      </w:pPr>
      <w:bookmarkStart w:id="127" w:name="_Toc518331351"/>
      <w:bookmarkEnd w:id="127"/>
      <w:r>
        <w:rPr/>
        <w:t>Oddziaływanie na powierzchnię ziemi z uwzględnieniem ruchów masowych ziemi</w:t>
      </w:r>
    </w:p>
    <w:p>
      <w:pPr>
        <w:pStyle w:val="Normal"/>
        <w:rPr/>
      </w:pPr>
      <w:r>
        <w:rPr/>
        <w:t>Na etapie eksploatacji przedsięwzięcie nie będzie  negatywnie oddziaływać  na powierzchnię ziemi. W związku z położeniem w obrębie płaskiego tarasu nadzalewowego przedsięwzięcie nie będzie narażone na występowanie ruchów masowych ziemi. Jego eksploatacja również nie będzie źródłem zagrożenia wystąpienia ruchów masowych.</w:t>
      </w:r>
    </w:p>
    <w:p>
      <w:pPr>
        <w:pStyle w:val="Normal"/>
        <w:rPr/>
      </w:pPr>
      <w:r>
        <w:rPr/>
      </w:r>
    </w:p>
    <w:p>
      <w:pPr>
        <w:pStyle w:val="Nagwek3"/>
        <w:numPr>
          <w:ilvl w:val="2"/>
          <w:numId w:val="2"/>
        </w:numPr>
        <w:ind w:hanging="851"/>
        <w:rPr/>
      </w:pPr>
      <w:bookmarkStart w:id="128" w:name="_Toc518331352"/>
      <w:bookmarkEnd w:id="128"/>
      <w:r>
        <w:rPr/>
        <w:t>Gospodarka odpadami</w:t>
      </w:r>
    </w:p>
    <w:p>
      <w:pPr>
        <w:pStyle w:val="Normal"/>
        <w:rPr/>
      </w:pPr>
      <w:r>
        <w:rPr/>
        <w:t>W związku z eksploatacją instalacji będą powstawały następujące rodzaje i ilości odpadów:</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53</w:t>
      </w:r>
      <w:r>
        <w:fldChar w:fldCharType="end"/>
      </w:r>
      <w:r>
        <w:rPr/>
        <w:t>.</w:t>
      </w:r>
      <w:r>
        <w:rPr>
          <w:b w:val="false"/>
        </w:rPr>
        <w:t xml:space="preserve"> Rodzaje i ilości odpadów przewidzianych do wytwarzania w związku z eksploatacją instalacji</w:t>
      </w:r>
    </w:p>
    <w:tbl>
      <w:tblPr>
        <w:tblW w:w="9356"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425"/>
        <w:gridCol w:w="1275"/>
        <w:gridCol w:w="6379"/>
        <w:gridCol w:w="1276"/>
      </w:tblGrid>
      <w:tr>
        <w:trPr>
          <w:tblHeader w:val="true"/>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Lp.</w:t>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Kod</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Rodzaje odpadów</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 xml:space="preserve">Ilość w </w:t>
              <w:br/>
              <w:t>Mg na rok</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7"/>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13 01 11*</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Syntetyczne oleje hydrauliczne</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jc w:val="center"/>
              <w:rPr>
                <w:rFonts w:ascii="Arial" w:hAnsi="Arial" w:cs="Arial"/>
                <w:sz w:val="18"/>
              </w:rPr>
            </w:pPr>
            <w:r>
              <w:rPr>
                <w:rFonts w:cs="Arial" w:ascii="Arial" w:hAnsi="Arial"/>
                <w:sz w:val="18"/>
              </w:rPr>
              <w:t>1,5</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7"/>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01 10*</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Opakowania zawierające pozostałości substancji niebezpiecznych lub nimi zanieczyszczone</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0,3</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7"/>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02*</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Sorbenty, materiały filtracyjne (w tym filtry olejowe nieujęte w innych grupach), tkaniny do wycierania (np. szmaty, ścierki) i ubrania ochronne zanieczyszczone substancjami niebezpiecznymi (np. PCB)</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0,5</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7"/>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15 02 03</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Sorbenty, materiały filtracyjne, tkaniny do wycierania (np. szmaty, ścierki) i ubrania ochronne inne niż wymienione w 15 02 02</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1,0</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7"/>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19 01 05*</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Osady filtracyjne (np. placek filtracyjny) z oczyszczania</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468,0</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7"/>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jc w:val="center"/>
              <w:rPr>
                <w:rFonts w:ascii="Arial" w:hAnsi="Arial" w:cs="Arial"/>
                <w:b/>
                <w:b/>
                <w:sz w:val="18"/>
              </w:rPr>
            </w:pPr>
            <w:r>
              <w:rPr>
                <w:rFonts w:cs="Arial" w:ascii="Arial" w:hAnsi="Arial"/>
                <w:b/>
                <w:sz w:val="18"/>
              </w:rPr>
              <w:t>19 01 12</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Żużle i popioły paleniskowe inne niż wymienione w 19 01 11</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1558,0*</w:t>
            </w:r>
          </w:p>
        </w:tc>
      </w:tr>
    </w:tbl>
    <w:p>
      <w:pPr>
        <w:pStyle w:val="Normal"/>
        <w:ind w:hanging="0"/>
        <w:rPr>
          <w:rFonts w:ascii="Arial" w:hAnsi="Arial" w:cs="Arial"/>
          <w:i/>
          <w:i/>
          <w:sz w:val="16"/>
          <w:szCs w:val="16"/>
        </w:rPr>
      </w:pPr>
      <w:r>
        <w:rPr>
          <w:rFonts w:cs="Arial" w:ascii="Arial" w:hAnsi="Arial"/>
          <w:sz w:val="16"/>
          <w:szCs w:val="16"/>
        </w:rPr>
        <w:t>*</w:t>
      </w:r>
      <w:r>
        <w:rPr>
          <w:rFonts w:cs="Arial" w:ascii="Arial" w:hAnsi="Arial"/>
          <w:i/>
          <w:sz w:val="16"/>
          <w:szCs w:val="16"/>
        </w:rPr>
        <w:t xml:space="preserve"> W skład odpadu wchodzą popioły i żużle paleniskowe w ilości około 10% spalonego paliwa, czyli około 1230 Mg oraz woda z odżużlacza w ilości około 328 Mg</w:t>
      </w:r>
    </w:p>
    <w:p>
      <w:pPr>
        <w:pStyle w:val="Normal"/>
        <w:spacing w:lineRule="auto" w:line="360"/>
        <w:rPr/>
      </w:pPr>
      <w:r>
        <w:rPr/>
      </w:r>
    </w:p>
    <w:p>
      <w:pPr>
        <w:pStyle w:val="Normal"/>
        <w:rPr/>
      </w:pPr>
      <w:r>
        <w:rPr/>
        <w:t>Charakterystykę odpadów oraz informacje na temat właściwości przedstawiają poniższe tabele.</w:t>
      </w:r>
    </w:p>
    <w:p>
      <w:pPr>
        <w:pStyle w:val="Normal"/>
        <w:rPr/>
      </w:pPr>
      <w:r>
        <w:rPr/>
      </w:r>
    </w:p>
    <w:p>
      <w:pPr>
        <w:pStyle w:val="Caption"/>
        <w:keepNext/>
        <w:spacing w:before="0" w:after="120"/>
        <w:jc w:val="left"/>
        <w:rPr/>
      </w:pPr>
      <w:r>
        <w:rPr/>
        <w:t xml:space="preserve">Tabela </w:t>
      </w:r>
      <w:r>
        <w:rPr/>
        <w:fldChar w:fldCharType="begin"/>
      </w:r>
      <w:r>
        <w:instrText> SEQ Tabela \* ARABIC </w:instrText>
      </w:r>
      <w:r>
        <w:fldChar w:fldCharType="separate"/>
      </w:r>
      <w:r>
        <w:t>54</w:t>
      </w:r>
      <w:r>
        <w:fldChar w:fldCharType="end"/>
      </w:r>
      <w:r>
        <w:rPr/>
        <w:t>.</w:t>
      </w:r>
      <w:r>
        <w:rPr>
          <w:b w:val="false"/>
        </w:rPr>
        <w:t xml:space="preserve"> Charakterystyka odpadów niebezpiecznych przewidzianych do wytwarzania</w:t>
      </w:r>
    </w:p>
    <w:tbl>
      <w:tblPr>
        <w:tblW w:w="9356"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425"/>
        <w:gridCol w:w="1275"/>
        <w:gridCol w:w="2128"/>
        <w:gridCol w:w="3543"/>
        <w:gridCol w:w="1985"/>
      </w:tblGrid>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Lp.</w:t>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Kod</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Rodzaje odpadów</w:t>
            </w:r>
          </w:p>
        </w:tc>
        <w:tc>
          <w:tcPr>
            <w:tcW w:w="35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Charakterystyka odpadów</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Właściwości odpadów niebezpiecznych</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8"/>
              </w:numPr>
              <w:spacing w:before="40" w:after="40"/>
              <w:ind w:left="0" w:hanging="0"/>
              <w:jc w:val="left"/>
              <w:rPr>
                <w:rFonts w:ascii="Arial" w:hAnsi="Arial" w:cs="Arial"/>
                <w:sz w:val="18"/>
              </w:rPr>
            </w:pPr>
            <w:r>
              <w:rPr>
                <w:rFonts w:cs="Arial" w:ascii="Arial" w:hAnsi="Arial"/>
                <w:sz w:val="18"/>
              </w:rPr>
            </w:r>
          </w:p>
          <w:p>
            <w:pPr>
              <w:pStyle w:val="Normal"/>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13 01 11*</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Syntetyczne oleje hydrauliczne</w:t>
            </w:r>
          </w:p>
        </w:tc>
        <w:tc>
          <w:tcPr>
            <w:tcW w:w="35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 xml:space="preserve">Odpad stanowi zużyty olej hydrauliczny wykorzystywany do drobnych konserwacji układów hydraulicznych. Odpad zawiera rozpuszczalniki organiczne w tym aromatyczne, policykliczne i heterocykliczne związki organiczne a także związki ołowiu, cynku, miedzi niklu, kadmu i chromu. </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H3-B łatwopalne</w:t>
            </w:r>
          </w:p>
          <w:p>
            <w:pPr>
              <w:pStyle w:val="Normal"/>
              <w:spacing w:before="40" w:after="40"/>
              <w:ind w:hanging="0"/>
              <w:jc w:val="left"/>
              <w:rPr>
                <w:rFonts w:ascii="Arial" w:hAnsi="Arial" w:cs="Arial"/>
                <w:sz w:val="18"/>
              </w:rPr>
            </w:pPr>
            <w:r>
              <w:rPr>
                <w:rFonts w:cs="Arial" w:ascii="Arial" w:hAnsi="Arial"/>
                <w:sz w:val="18"/>
              </w:rPr>
              <w:t>H5 szkodliwe</w:t>
            </w:r>
          </w:p>
          <w:p>
            <w:pPr>
              <w:pStyle w:val="Normal"/>
              <w:spacing w:before="40" w:after="40"/>
              <w:ind w:hanging="0"/>
              <w:jc w:val="left"/>
              <w:rPr>
                <w:rFonts w:ascii="Arial" w:hAnsi="Arial" w:cs="Arial"/>
                <w:sz w:val="18"/>
              </w:rPr>
            </w:pPr>
            <w:r>
              <w:rPr>
                <w:rFonts w:cs="Arial" w:ascii="Arial" w:hAnsi="Arial"/>
                <w:sz w:val="18"/>
              </w:rPr>
              <w:t>H14 ekotoksyczne</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8"/>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01 10*</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Opakowania zawierające pozostałości substancji niebezpiecznych lub nimi zanieczyszczone</w:t>
            </w:r>
          </w:p>
        </w:tc>
        <w:tc>
          <w:tcPr>
            <w:tcW w:w="35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Odpad stanowią opakowania z metali i tworzyw sztucznych po substancjach i mieszaninach niebezpiecznych wykorzystywanych w instalacji.</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H15 odpady, które po zakończeniu procesu unieszkodliwiania mogą w dowolny sposób wydzielić inną substancję, np. w formie odcieku</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8"/>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02*</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Sorbenty, materiały filtracyjne (w tym filtry olejowe nieujęte w innych grupach), tkaniny do wycierania (np. szmaty, ścierki) i ubrania ochronne zanieczyszczone substancjami niebezpiecznymi (np. PCB)</w:t>
            </w:r>
          </w:p>
        </w:tc>
        <w:tc>
          <w:tcPr>
            <w:tcW w:w="35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W skład odpadu wchodzą sorbenty (zmielona pianka poliuretanowa) zużyte do neutralizacji wycieków lub rozlewów oleju przepracowanego oraz zużyte ścierki bawełniane (celuloza, woda, tłuszcze, węgiel, wodór, polimery syntetyczne) zanieczyszczone substancjami niebezpiecznymi. Odpad zawiera rozpuszczalniki organiczne w tym aromatyczne, policykliczne i heterocykliczne związki organiczne. Odpad w postaci stałej.</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H3-B łatwopalne</w:t>
            </w:r>
          </w:p>
          <w:p>
            <w:pPr>
              <w:pStyle w:val="Normal"/>
              <w:spacing w:before="40" w:after="40"/>
              <w:ind w:hanging="0"/>
              <w:jc w:val="left"/>
              <w:rPr>
                <w:rFonts w:ascii="Arial" w:hAnsi="Arial" w:cs="Arial"/>
                <w:sz w:val="18"/>
              </w:rPr>
            </w:pPr>
            <w:r>
              <w:rPr>
                <w:rFonts w:cs="Arial" w:ascii="Arial" w:hAnsi="Arial"/>
                <w:sz w:val="18"/>
              </w:rPr>
              <w:t>H5 szkodliwe</w:t>
            </w:r>
          </w:p>
          <w:p>
            <w:pPr>
              <w:pStyle w:val="Normal"/>
              <w:spacing w:before="40" w:after="40"/>
              <w:ind w:hanging="0"/>
              <w:jc w:val="left"/>
              <w:rPr>
                <w:rFonts w:ascii="Arial" w:hAnsi="Arial" w:cs="Arial"/>
                <w:sz w:val="18"/>
              </w:rPr>
            </w:pPr>
            <w:r>
              <w:rPr>
                <w:rFonts w:cs="Arial" w:ascii="Arial" w:hAnsi="Arial"/>
                <w:sz w:val="18"/>
              </w:rPr>
              <w:t>H14 ekotoksyczne</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8"/>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19 01 05*</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Osady filtracyjne (np. placek filtracyjny) z oczyszczania gazów odlotowych</w:t>
            </w:r>
          </w:p>
        </w:tc>
        <w:tc>
          <w:tcPr>
            <w:tcW w:w="35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Odpad stanowią pyły ze spalania paliwa odpadowego wychwytywane na filtrach workowych oraz pozostałości poreakcyjne z oczyszczania gazów spalinowych. Odpad zawiera znaczne ilości metali ciężkich (np. ołów, kadm, rtęć) oraz dioksyn usuniętych w procesie oczyszczania spalin.</w:t>
            </w:r>
            <w:r>
              <w:rPr>
                <w:rFonts w:cs="Arial" w:ascii="Arial" w:hAnsi="Arial"/>
                <w:sz w:val="18"/>
                <w:szCs w:val="18"/>
                <w:shd w:fill="FFFFFF" w:val="clear"/>
              </w:rPr>
              <w:t xml:space="preserve"> </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H5 szkodliwe</w:t>
            </w:r>
          </w:p>
          <w:p>
            <w:pPr>
              <w:pStyle w:val="Normal"/>
              <w:spacing w:before="40" w:after="40"/>
              <w:ind w:hanging="0"/>
              <w:jc w:val="left"/>
              <w:rPr>
                <w:rFonts w:ascii="Arial" w:hAnsi="Arial" w:cs="Arial"/>
                <w:sz w:val="18"/>
              </w:rPr>
            </w:pPr>
            <w:r>
              <w:rPr>
                <w:rFonts w:cs="Arial" w:ascii="Arial" w:hAnsi="Arial"/>
                <w:sz w:val="18"/>
              </w:rPr>
              <w:t>H14 ekotoksyczne</w:t>
            </w:r>
          </w:p>
        </w:tc>
      </w:tr>
    </w:tbl>
    <w:p>
      <w:pPr>
        <w:pStyle w:val="Normal"/>
        <w:ind w:firstLine="425"/>
        <w:rPr/>
      </w:pPr>
      <w:r>
        <w:rPr/>
      </w:r>
    </w:p>
    <w:p>
      <w:pPr>
        <w:pStyle w:val="Caption"/>
        <w:keepNext/>
        <w:jc w:val="left"/>
        <w:rPr/>
      </w:pPr>
      <w:r>
        <w:rPr/>
        <w:t xml:space="preserve">Tabela </w:t>
      </w:r>
      <w:r>
        <w:rPr/>
        <w:fldChar w:fldCharType="begin"/>
      </w:r>
      <w:r>
        <w:instrText> SEQ Tabela \* ARABIC </w:instrText>
      </w:r>
      <w:r>
        <w:fldChar w:fldCharType="separate"/>
      </w:r>
      <w:r>
        <w:t>55</w:t>
      </w:r>
      <w:r>
        <w:fldChar w:fldCharType="end"/>
      </w:r>
      <w:r>
        <w:rPr/>
        <w:t>.</w:t>
      </w:r>
      <w:r>
        <w:rPr>
          <w:b w:val="false"/>
        </w:rPr>
        <w:t xml:space="preserve"> Charakterystyka odpadów innych niż niebezpieczne przewidzianych do wytwarzania</w:t>
      </w:r>
    </w:p>
    <w:tbl>
      <w:tblPr>
        <w:tblW w:w="9356"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425"/>
        <w:gridCol w:w="1275"/>
        <w:gridCol w:w="2128"/>
        <w:gridCol w:w="5527"/>
      </w:tblGrid>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tcPr>
          <w:p>
            <w:pPr>
              <w:pStyle w:val="Normal"/>
              <w:spacing w:before="40" w:after="40"/>
              <w:ind w:hanging="0"/>
              <w:jc w:val="center"/>
              <w:rPr>
                <w:rFonts w:ascii="Arial" w:hAnsi="Arial" w:cs="Arial"/>
                <w:b/>
                <w:b/>
                <w:sz w:val="18"/>
              </w:rPr>
            </w:pPr>
            <w:r>
              <w:rPr>
                <w:rFonts w:cs="Arial" w:ascii="Arial" w:hAnsi="Arial"/>
                <w:b/>
                <w:sz w:val="18"/>
              </w:rPr>
              <w:t>Lp.</w:t>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 xml:space="preserve">Kod </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Rodzaje odpadów</w:t>
            </w:r>
          </w:p>
        </w:tc>
        <w:tc>
          <w:tcPr>
            <w:tcW w:w="55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Charakterystyka odpadów</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0"/>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15 02 03</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Sorbenty, materiały filtracyjne, tkaniny do wycierania (np. szmaty, ścierki) i ubrania ochronne inne niż wymienione w 15 02 02</w:t>
            </w:r>
          </w:p>
        </w:tc>
        <w:tc>
          <w:tcPr>
            <w:tcW w:w="55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W skład odpadu wchodzą zużyte ścierki bawełniane i czyściwa papierowe nie zanieczyszczone substancjami niebezpiecznymi oraz zużyta odzież ochronna pracowników. Skład odpadu: bawełna (celuloza, woda, tłuszcze, węgiel, wodór, polimery syntetyczne) skrobia, węglowodory alifatyczne, węglowodory aromatyczne, polipropylen, poliester. Właściwości: dobra higroskopijność, odporność na działanie wody i wytrzymałość. Odpad palny.</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0"/>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b/>
                <w:sz w:val="18"/>
              </w:rPr>
              <w:t>19 01 12</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Żużle i popioły paleniskowe inne niż wymienione w 19 01 11</w:t>
            </w:r>
          </w:p>
        </w:tc>
        <w:tc>
          <w:tcPr>
            <w:tcW w:w="55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Odpad stanowią żużle i popioły paleniskowe odbierane na sucho z pieca. Składa się on głównie z substancji niepalnych, czyli nierozpuszczalnych w wodzie krzemianów, tlenków glinu i żelaza. Odpad ten nie jest odpadem niebezpiecznym, zawiera on pewne ilości metali ciężkich, jednak ich zawartość (stężenia) – uwzględniając kryteria klasyfikacji substancji i mieszanin niebezpiecznych – nie powoduje, że odpad posiada właściwości niebezpieczne.</w:t>
            </w:r>
          </w:p>
        </w:tc>
      </w:tr>
    </w:tbl>
    <w:p>
      <w:pPr>
        <w:pStyle w:val="PlainText"/>
        <w:spacing w:before="0" w:after="60"/>
        <w:jc w:val="both"/>
        <w:rPr>
          <w:rFonts w:ascii="Times New Roman" w:hAnsi="Times New Roman"/>
          <w:b/>
          <w:b/>
          <w:sz w:val="24"/>
          <w:u w:val="single"/>
        </w:rPr>
      </w:pPr>
      <w:r>
        <w:rPr>
          <w:rFonts w:ascii="Times New Roman" w:hAnsi="Times New Roman"/>
          <w:b/>
          <w:sz w:val="24"/>
          <w:u w:val="single"/>
        </w:rPr>
      </w:r>
    </w:p>
    <w:p>
      <w:pPr>
        <w:pStyle w:val="PlainText"/>
        <w:spacing w:before="0" w:after="60"/>
        <w:jc w:val="both"/>
        <w:rPr>
          <w:rFonts w:ascii="Times New Roman" w:hAnsi="Times New Roman"/>
          <w:b/>
          <w:b/>
          <w:sz w:val="24"/>
          <w:u w:val="single"/>
        </w:rPr>
      </w:pPr>
      <w:r>
        <w:rPr>
          <w:rFonts w:ascii="Times New Roman" w:hAnsi="Times New Roman"/>
          <w:b/>
          <w:sz w:val="24"/>
          <w:u w:val="single"/>
        </w:rPr>
      </w:r>
    </w:p>
    <w:p>
      <w:pPr>
        <w:pStyle w:val="PlainText"/>
        <w:spacing w:before="0" w:after="60"/>
        <w:jc w:val="both"/>
        <w:rPr>
          <w:rFonts w:ascii="Times New Roman" w:hAnsi="Times New Roman"/>
          <w:b/>
          <w:b/>
          <w:sz w:val="24"/>
          <w:u w:val="single"/>
        </w:rPr>
      </w:pPr>
      <w:r>
        <w:rPr>
          <w:rFonts w:ascii="Times New Roman" w:hAnsi="Times New Roman"/>
          <w:b/>
          <w:sz w:val="24"/>
          <w:u w:val="single"/>
        </w:rPr>
        <w:t>Sposoby zapobiegania powstawaniu lub ograniczania ilości odpadów i ich negatywnego oddziaływania na środowisko</w:t>
      </w:r>
    </w:p>
    <w:p>
      <w:pPr>
        <w:pStyle w:val="Normal"/>
        <w:rPr/>
      </w:pPr>
      <w:r>
        <w:rPr/>
        <w:t xml:space="preserve">Realizacja zasady zapobiegania powstawaniu odpadów wytwarzanych przez zakład </w:t>
        <w:br/>
        <w:t>w trakcie normalnej eksploatacji instalacji nie jest możliwa do zrealizowania, ponieważ nie można przy funkcjonowaniu tego typu obiektu zmniejszać lub ograniczać ilości zużywanych materiałów.</w:t>
      </w:r>
    </w:p>
    <w:p>
      <w:pPr>
        <w:pStyle w:val="Normal"/>
        <w:rPr/>
      </w:pPr>
      <w:r>
        <w:rPr/>
        <w:t xml:space="preserve">Ograniczanie ilości powstających odpadów realizowane jest poprzez ścisłe przestrzeganie reżimu technologicznego i właściwą eksploatację instalacji, pozwalające zminimalizować możliwość wystąpienia awarii urządzeń. </w:t>
      </w:r>
    </w:p>
    <w:p>
      <w:pPr>
        <w:pStyle w:val="Normal"/>
        <w:rPr/>
      </w:pPr>
      <w:r>
        <w:rPr/>
        <w:t>Ponadto dzięki selektywnej zbiórce odpadów, stosowaniu odpowiednich metod magazynowania oraz przekazywaniu odpadów właściwym odbiorcom do odzysku lub unieszkodliwienia, możliwe jest ograniczenie do minimum negatywnego oddziaływania odpadów na środowisko.</w:t>
      </w:r>
    </w:p>
    <w:p>
      <w:pPr>
        <w:pStyle w:val="Normal"/>
        <w:rPr/>
      </w:pPr>
      <w:r>
        <w:rPr/>
      </w:r>
    </w:p>
    <w:p>
      <w:pPr>
        <w:pStyle w:val="PlainText"/>
        <w:spacing w:before="0" w:after="60"/>
        <w:jc w:val="both"/>
        <w:rPr>
          <w:rFonts w:ascii="Times New Roman" w:hAnsi="Times New Roman"/>
          <w:b/>
          <w:b/>
          <w:sz w:val="24"/>
          <w:u w:val="single"/>
        </w:rPr>
      </w:pPr>
      <w:bookmarkStart w:id="129" w:name="_Toc419281633"/>
      <w:bookmarkStart w:id="130" w:name="_Toc5513896"/>
      <w:bookmarkStart w:id="131" w:name="_Toc535853276"/>
      <w:bookmarkStart w:id="132" w:name="_Toc530798096"/>
      <w:r>
        <w:rPr>
          <w:rFonts w:ascii="Times New Roman" w:hAnsi="Times New Roman"/>
          <w:b/>
          <w:sz w:val="24"/>
          <w:u w:val="single"/>
        </w:rPr>
        <w:t>Miejsca i sposoby magazynowania odpadów</w:t>
      </w:r>
      <w:bookmarkEnd w:id="129"/>
      <w:bookmarkEnd w:id="130"/>
      <w:bookmarkEnd w:id="131"/>
      <w:bookmarkEnd w:id="132"/>
      <w:r>
        <w:rPr>
          <w:rFonts w:ascii="Times New Roman" w:hAnsi="Times New Roman"/>
          <w:b/>
          <w:sz w:val="24"/>
          <w:u w:val="single"/>
        </w:rPr>
        <w:t xml:space="preserve"> </w:t>
      </w:r>
    </w:p>
    <w:p>
      <w:pPr>
        <w:pStyle w:val="Normal"/>
        <w:rPr/>
      </w:pPr>
      <w:r>
        <w:rPr/>
        <w:t xml:space="preserve">Odpady wytwarzane w związku z eksploatacją instalacji będą magazynowane na terenie, do którego posiadacz odpadów będzie miał tytuł prawny. Zgodnie z </w:t>
      </w:r>
      <w:r>
        <w:rPr>
          <w:i/>
        </w:rPr>
        <w:t>ustawą o odpadach</w:t>
      </w:r>
      <w:r>
        <w:rPr/>
        <w:t xml:space="preserve">, odpady, </w:t>
        <w:br/>
        <w:t xml:space="preserve">z wyjątkiem przeznaczonych do składowania, mogą być magazynowane, jeżeli konieczność magazynowania wynika z procesów technologicznych lub organizacyjnych i nie przekracza terminów uzasadnionych zastosowaniem tych procesów, nie dłużej jednak niż przez okres 3 lat. W omawianym przypadku, ze względu na ograniczenie powierzchni magazynowej odpady będą usuwane na bieżąco, w zależności od potrzeb. </w:t>
      </w:r>
    </w:p>
    <w:p>
      <w:pPr>
        <w:pStyle w:val="Normal"/>
        <w:rPr/>
      </w:pPr>
      <w:r>
        <w:rPr/>
        <w:t xml:space="preserve">Oleje przepracowane magazynowane będą zgodnie z wymogami określonymi w rozporządzeniu Ministra Gospodarki z dnia 5 października 2015 r. </w:t>
      </w:r>
      <w:r>
        <w:rPr>
          <w:i/>
        </w:rPr>
        <w:t>w sprawie szczegółowego sposobu postępowania z olejami odpadowymi</w:t>
      </w:r>
      <w:r>
        <w:rPr/>
        <w:t xml:space="preserve"> (Dz.U.2015.1694). </w:t>
      </w:r>
    </w:p>
    <w:p>
      <w:pPr>
        <w:pStyle w:val="Normal"/>
        <w:rPr/>
      </w:pPr>
      <w:r>
        <w:rPr/>
        <w:t>Miejsca magazynowania zostaną odpowiednio oznakowane i zabezpieczone przed dostępem osób postronnych. Wszystkie odpady będą magazynowane w warunkach uniemożliwiających zmieszanie odpadów różnych rodzajów (w szczególności odpadów niebezpiecznych z odpadami innymi niż niebezpieczne) i oddziaływanie czynników atmosferycznych</w:t>
      </w:r>
    </w:p>
    <w:p>
      <w:pPr>
        <w:pStyle w:val="Normal"/>
        <w:rPr/>
      </w:pPr>
      <w:r>
        <w:rPr/>
        <w:t>Szczegółowy opis miejsc i sposobów magazynowania odpadów niebezpiecznych przedstawia poniższa tabela.</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56</w:t>
      </w:r>
      <w:r>
        <w:fldChar w:fldCharType="end"/>
      </w:r>
      <w:r>
        <w:rPr/>
        <w:t>.</w:t>
      </w:r>
      <w:r>
        <w:rPr>
          <w:b w:val="false"/>
        </w:rPr>
        <w:t xml:space="preserve"> Miejsca i sposoby magazynowania odpadów przewidzianych do wytwarzania</w:t>
      </w:r>
    </w:p>
    <w:tbl>
      <w:tblPr>
        <w:tblW w:w="9356"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425"/>
        <w:gridCol w:w="1275"/>
        <w:gridCol w:w="3544"/>
        <w:gridCol w:w="4111"/>
      </w:tblGrid>
      <w:tr>
        <w:trPr>
          <w:tblHeader w:val="true"/>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tcPr>
          <w:p>
            <w:pPr>
              <w:pStyle w:val="Normal"/>
              <w:spacing w:before="40" w:after="40"/>
              <w:ind w:hanging="0"/>
              <w:jc w:val="center"/>
              <w:rPr>
                <w:rFonts w:ascii="Arial" w:hAnsi="Arial" w:cs="Arial"/>
                <w:b/>
                <w:b/>
                <w:sz w:val="18"/>
                <w:szCs w:val="18"/>
              </w:rPr>
            </w:pPr>
            <w:r>
              <w:rPr>
                <w:rFonts w:cs="Arial" w:ascii="Arial" w:hAnsi="Arial"/>
                <w:b/>
                <w:sz w:val="18"/>
                <w:szCs w:val="18"/>
              </w:rPr>
              <w:t>Lp.</w:t>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Kod</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Rodzaje odpadów</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Miejsca i sposoby magazynowania odpadów</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9"/>
              </w:numPr>
              <w:spacing w:before="40" w:after="40"/>
              <w:ind w:left="0" w:hanging="0"/>
              <w:jc w:val="left"/>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13 01 11*</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Syntetyczne oleje hydrauliczne</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Odpad będzie magazynowany w odpowiednio oznakowanym pojemniku w miejscu wydzielonym w budynku magazynowym.</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9"/>
              </w:numPr>
              <w:spacing w:before="40" w:after="40"/>
              <w:ind w:left="0" w:hanging="0"/>
              <w:jc w:val="left"/>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15 01 10*</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rPr>
              <w:t>Opakowania zawierające pozostałości substancji niebezpiecznych lub nimi zanieczyszczone</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Odpad będzie magazynowany luzem w oznakowanym i wydzielonym miejscu w budynku magazynowym.</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9"/>
              </w:numPr>
              <w:spacing w:before="40" w:after="40"/>
              <w:ind w:left="0" w:hanging="0"/>
              <w:jc w:val="left"/>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15 02 02*</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Sorbenty, materiały filtracyjne (w tym filtry olejowe nieujęte w innych grupach), tkaniny do wycierania (np. szmaty, ścierki) i ubrania ochronne zanieczyszczone substancjami niebezpiecznymi (np. PCB)</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Odpad będzie magazynowany w odpowiednio oznakowanym szczelnym pojemniku w miejscu wydzielonym w budynku magazynowym.</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9"/>
              </w:numPr>
              <w:spacing w:before="40" w:after="40"/>
              <w:ind w:left="0" w:hanging="0"/>
              <w:jc w:val="left"/>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15 02 03</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Sorbenty, materiały filtracyjne, tkaniny do wycierania (np. szmaty, ścierki) i ubrania ochronne inne niż wymienione w 15 02 02</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szCs w:val="18"/>
              </w:rPr>
              <w:t>Odpad będzie magazynowany w odpowiednio oznakowanym pojemniku w miejscu wydzielonym w budynku magazynowym.</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9"/>
              </w:numPr>
              <w:spacing w:before="40" w:after="40"/>
              <w:ind w:left="0" w:hanging="0"/>
              <w:jc w:val="left"/>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19 01 05*</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Osady filtracyjne (np. placek filtracyjny) z oczyszczania gazów odlotowych</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Odpad będzie magazynowany w zamykanych big bagach, w oddzielnym pomieszczeniu w budynku magazynu pyłów.</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9"/>
              </w:numPr>
              <w:spacing w:before="40" w:after="40"/>
              <w:ind w:left="0" w:hanging="0"/>
              <w:jc w:val="left"/>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b/>
                <w:sz w:val="18"/>
              </w:rPr>
              <w:t>19 01 12</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Żużle i popioły paleniskowe inne niż wymienione w 19 01 11</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Odpad będzie magazynowany w szczelnych stalowych kontenerach zlokalizowanych obok hali kotłowni w oddzielnym zamkniętym pomieszczeniu.</w:t>
            </w:r>
          </w:p>
        </w:tc>
      </w:tr>
    </w:tbl>
    <w:p>
      <w:pPr>
        <w:pStyle w:val="Normal"/>
        <w:spacing w:lineRule="auto" w:line="360"/>
        <w:rPr/>
      </w:pPr>
      <w:r>
        <w:rPr/>
      </w:r>
    </w:p>
    <w:p>
      <w:pPr>
        <w:pStyle w:val="PlainText"/>
        <w:spacing w:before="0" w:after="60"/>
        <w:jc w:val="both"/>
        <w:rPr>
          <w:rFonts w:ascii="Times New Roman" w:hAnsi="Times New Roman"/>
          <w:b/>
          <w:b/>
          <w:sz w:val="24"/>
          <w:u w:val="single"/>
        </w:rPr>
      </w:pPr>
      <w:r>
        <w:rPr>
          <w:rFonts w:ascii="Times New Roman" w:hAnsi="Times New Roman"/>
          <w:b/>
          <w:sz w:val="24"/>
          <w:u w:val="single"/>
        </w:rPr>
        <w:t>Transport odpadów</w:t>
      </w:r>
    </w:p>
    <w:p>
      <w:pPr>
        <w:pStyle w:val="Normal"/>
        <w:rPr/>
      </w:pPr>
      <w:r>
        <w:rPr/>
        <w:t xml:space="preserve">Wytwarzane odpady będą przewożone do miejsc odzysku lub unieszkodliwiania transportem kołowym (pojazdami) firm odbierających odpady, posiadających odpowiednie zezwolenia na transport poszczególnych rodzajów odpadów. Transport odpadów będzie realizowany zgodnie </w:t>
        <w:br/>
        <w:t xml:space="preserve">z wymaganiami rozporządzenia Ministra Środowiska z dnia 7 października 2016 r. </w:t>
      </w:r>
      <w:r>
        <w:rPr>
          <w:i/>
        </w:rPr>
        <w:t>w sprawie szczegółowych wymagań dla transportu odpadów</w:t>
      </w:r>
      <w:r>
        <w:rPr/>
        <w:t xml:space="preserve"> (Dz.U.2016.1742).</w:t>
      </w:r>
    </w:p>
    <w:p>
      <w:pPr>
        <w:pStyle w:val="Normal"/>
        <w:rPr/>
      </w:pPr>
      <w:r>
        <w:rPr/>
      </w:r>
    </w:p>
    <w:p>
      <w:pPr>
        <w:pStyle w:val="Stopka"/>
        <w:spacing w:before="0" w:after="60"/>
        <w:ind w:hanging="0"/>
        <w:rPr>
          <w:b/>
          <w:b/>
          <w:u w:val="single"/>
        </w:rPr>
      </w:pPr>
      <w:bookmarkStart w:id="133" w:name="_Toc419281636"/>
      <w:bookmarkEnd w:id="133"/>
      <w:r>
        <w:rPr>
          <w:b/>
          <w:u w:val="single"/>
        </w:rPr>
        <w:t>Dalszy sposób postępowania z odpadami</w:t>
      </w:r>
    </w:p>
    <w:p>
      <w:pPr>
        <w:pStyle w:val="Normal"/>
        <w:rPr/>
      </w:pPr>
      <w:r>
        <w:rPr/>
        <w:t>Wszystkie wytwarzane odpady po zebraniu partii wysyłkowej będą przekazywane firmom posiadającym stosowne decyzje administracyjne w zakresie gospodarowania tego rodzaju odpadami. Dalszy sposób postępowania z odpadami przedstawia poniższa tabela.</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57</w:t>
      </w:r>
      <w:r>
        <w:fldChar w:fldCharType="end"/>
      </w:r>
      <w:r>
        <w:rPr/>
        <w:t>.</w:t>
      </w:r>
      <w:r>
        <w:rPr>
          <w:b w:val="false"/>
        </w:rPr>
        <w:t xml:space="preserve"> Dalszy sposób postępowania z odpadami przewidzianymi do wytwarzania</w:t>
      </w:r>
    </w:p>
    <w:tbl>
      <w:tblPr>
        <w:tblW w:w="9355"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425"/>
        <w:gridCol w:w="1275"/>
        <w:gridCol w:w="5669"/>
        <w:gridCol w:w="1985"/>
      </w:tblGrid>
      <w:tr>
        <w:trPr>
          <w:tblHeader w:val="true"/>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Lp.</w:t>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Kod</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Rodzaje odpadów</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 xml:space="preserve">Sposób </w:t>
              <w:br/>
              <w:t>postępowania metody</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1"/>
              </w:numPr>
              <w:spacing w:before="40" w:after="40"/>
              <w:ind w:left="0" w:hanging="0"/>
              <w:jc w:val="center"/>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13 01 11*</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Syntetyczne oleje hydrauliczne</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odzysk</w:t>
              <w:br/>
              <w:t>D10, R9</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1"/>
              </w:numPr>
              <w:spacing w:before="40" w:after="40"/>
              <w:ind w:left="0" w:hanging="0"/>
              <w:jc w:val="center"/>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15 01 10*</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rPr>
              <w:t>Opakowania zawierające pozostałości substancji niebezpiecznych lub nimi zanieczyszczone</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odzysk / unieszkodliwianie</w:t>
              <w:br/>
              <w:t>D10, D16, R1</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1"/>
              </w:numPr>
              <w:spacing w:before="40" w:after="40"/>
              <w:ind w:left="0" w:hanging="0"/>
              <w:jc w:val="center"/>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02*</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 xml:space="preserve">Sorbenty, materiały filtracyjne (w tym filtry olejowe nieujęte </w:t>
              <w:br/>
              <w:t xml:space="preserve">w innych grupach), tkaniny do wycierania (np. szmaty, ścierki) i ubrania ochronne zanieczyszczone substancjami </w:t>
              <w:br/>
              <w:t>niebezpiecznymi (np. PCB)</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odzysk / unieszkodliwianie</w:t>
              <w:br/>
              <w:t>D10, D16, R1</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1"/>
              </w:numPr>
              <w:spacing w:before="40" w:after="40"/>
              <w:ind w:left="0" w:hanging="0"/>
              <w:jc w:val="center"/>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15 02 03</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Sorbenty, materiały filtracyjne, tkaniny do wycierania (np. szmaty, ścierki) i ubrania ochronne inne niż wymienione w 15 02 02</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odzysk</w:t>
              <w:br/>
              <w:t>R5, R11, D1, D10</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1"/>
              </w:numPr>
              <w:spacing w:before="40" w:after="40"/>
              <w:ind w:left="0" w:hanging="0"/>
              <w:jc w:val="center"/>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19 01 05*</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Osady filtracyjne (np. placek filtracyjny) z oczyszczania gazów odlotowych</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 xml:space="preserve">unieszkodliwianie </w:t>
              <w:br/>
              <w:t>D1, D5</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1"/>
              </w:numPr>
              <w:spacing w:before="40" w:after="40"/>
              <w:ind w:left="0" w:hanging="0"/>
              <w:jc w:val="center"/>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b/>
                <w:sz w:val="18"/>
              </w:rPr>
              <w:t>19 01 12</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Żużle i popioły paleniskowe inne niż wymienione w 19 01 11</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 xml:space="preserve">odzysk / unieszkodliwianie </w:t>
              <w:br/>
              <w:t>R5, R11, R12, D1, D5.</w:t>
            </w:r>
          </w:p>
        </w:tc>
      </w:tr>
    </w:tbl>
    <w:p>
      <w:pPr>
        <w:pStyle w:val="Normal"/>
        <w:spacing w:lineRule="auto" w:line="360"/>
        <w:rPr/>
      </w:pPr>
      <w:r>
        <w:rPr/>
      </w:r>
    </w:p>
    <w:p>
      <w:pPr>
        <w:pStyle w:val="Normal"/>
        <w:rPr/>
      </w:pPr>
      <w:r>
        <w:rPr/>
        <w:t xml:space="preserve">Spełnienie opisanych powyżej zasad gospodarowania odpadami gwarantuje, że działalność zakładu nie będzie powodowała zagrożenia dla poszczególnych komponentów środowiska. </w:t>
        <w:br/>
        <w:t>Z punktu widzenia bezpiecznego gospodarowania odpadami szczególne znaczenie będzie miał wybór odpowiednich odbiorców, którzy zapewnią transport odpadów z zachowaniem szczególnej ostrożności, w warunkach zabezpieczających przez zmieszaniem odpadów oraz ich niekontrolowanym uwolnieniem do środowiska. Konieczny jest także wybór odbiorców, którzy zapewnią odzysk lub recykling odpadów oraz bezpieczne unieszkodliwienie w przypadku odpadów, których nie uda się poddać odzyskowi lub recyklingowi.</w:t>
      </w:r>
    </w:p>
    <w:p>
      <w:pPr>
        <w:pStyle w:val="Normal"/>
        <w:spacing w:lineRule="auto" w:line="360"/>
        <w:rPr/>
      </w:pPr>
      <w:r>
        <w:rPr/>
      </w:r>
    </w:p>
    <w:p>
      <w:pPr>
        <w:pStyle w:val="Nagwek1"/>
        <w:numPr>
          <w:ilvl w:val="0"/>
          <w:numId w:val="2"/>
        </w:numPr>
        <w:rPr/>
      </w:pPr>
      <w:bookmarkStart w:id="134" w:name="_Toc518331353"/>
      <w:r>
        <w:rPr/>
        <w:t>OPIS METOD PROGNOZOWANIA ZASTOSOWANYCH PRZEZ WNIOSKODAWCĘ ORAZ OPIS PRZEWIDYWANYCH ZNACZĄCYCH ODDZIAŁYWAŃ PLANOWANEGO PRZEDSIĘWZIĘCIA NA ŚRODOWISKO, OBEJMUJĄCY BEZPOŚREDNIE, POŚREDNIE, WTÓRNE, SKUMULOWANE, KRÓTKO-, ŚREDNIO- I DŁUGOTERMINOWE, STAŁE I CHWILOWE ODDZIAŁYWANIA NA ŚRODOWISKO</w:t>
      </w:r>
      <w:bookmarkEnd w:id="134"/>
      <w:r>
        <w:rPr/>
        <w:t xml:space="preserve"> </w:t>
      </w:r>
    </w:p>
    <w:p>
      <w:pPr>
        <w:pStyle w:val="Nagwek2"/>
        <w:numPr>
          <w:ilvl w:val="1"/>
          <w:numId w:val="2"/>
        </w:numPr>
        <w:ind w:hanging="578"/>
        <w:rPr/>
      </w:pPr>
      <w:bookmarkStart w:id="135" w:name="_Toc518331354"/>
      <w:r>
        <w:rPr/>
        <w:t>Opis metod prognozowania</w:t>
      </w:r>
      <w:bookmarkEnd w:id="135"/>
      <w:r>
        <w:rPr/>
        <w:t xml:space="preserve"> </w:t>
      </w:r>
    </w:p>
    <w:p>
      <w:pPr>
        <w:pStyle w:val="Stopka"/>
        <w:spacing w:before="0" w:after="60"/>
        <w:ind w:hanging="0"/>
        <w:rPr>
          <w:b/>
          <w:b/>
          <w:u w:val="single"/>
        </w:rPr>
      </w:pPr>
      <w:r>
        <w:rPr>
          <w:b/>
          <w:u w:val="single"/>
        </w:rPr>
        <w:t xml:space="preserve">Powietrze </w:t>
      </w:r>
    </w:p>
    <w:p>
      <w:pPr>
        <w:pStyle w:val="Normal"/>
        <w:rPr/>
      </w:pPr>
      <w:r>
        <w:rPr/>
        <w:t xml:space="preserve">Obliczenia rozprzestrzeniania zanieczyszczeń w powietrzu w związku z eksploatacją planowanego przedsięwzięcia wykonano drogą elektroniczną przy użyciu programu komputerowego OPERAT FB firmy PROEKO Ryszard Samoć. Program ten wykorzystuje metodykę obliczeń zawartą w rozporządzeniu Ministra Środowiska z dnia 26 stycznia 2010 r. </w:t>
        <w:br/>
      </w:r>
      <w:r>
        <w:rPr>
          <w:i/>
        </w:rPr>
        <w:t xml:space="preserve">w sprawie wartości odniesienia niektórych substancji w powietrzu </w:t>
      </w:r>
      <w:r>
        <w:rPr/>
        <w:t xml:space="preserve">i posiada atest Instytutu Ochrony Środowiska. </w:t>
      </w:r>
    </w:p>
    <w:p>
      <w:pPr>
        <w:pStyle w:val="Normal"/>
        <w:rPr/>
      </w:pPr>
      <w:r>
        <w:rPr/>
      </w:r>
    </w:p>
    <w:p>
      <w:pPr>
        <w:pStyle w:val="Stopka"/>
        <w:spacing w:before="0" w:after="60"/>
        <w:ind w:hanging="0"/>
        <w:rPr/>
      </w:pPr>
      <w:r>
        <w:rPr>
          <w:b/>
          <w:u w:val="single"/>
        </w:rPr>
        <w:t xml:space="preserve">Hałas </w:t>
      </w:r>
    </w:p>
    <w:p>
      <w:pPr>
        <w:pStyle w:val="Normal"/>
        <w:rPr/>
      </w:pPr>
      <w:r>
        <w:rPr/>
        <w:t xml:space="preserve">Prognozę możliwego oddziaływania na środowisko akustyczne wykonano przy pomocy programu komputerowego HPZ2001, służącego do określania zasięgu hałasu przemysłowego i drogowego emitowanego do środowiska na podstawie metod zalecanych przez Dyrektywę UE 2002/49/EC. </w:t>
      </w:r>
    </w:p>
    <w:p>
      <w:pPr>
        <w:pStyle w:val="Normal"/>
        <w:rPr/>
      </w:pPr>
      <w:r>
        <w:rPr/>
        <w:t xml:space="preserve">Dane do programu dotyczące parametrów akustycznych istniejących źródeł hałasu ustalono głównie na podstawie literatury tematu oraz materiałów dostarczonych przez Inwestora i partnera technologicznego. </w:t>
      </w:r>
    </w:p>
    <w:p>
      <w:pPr>
        <w:pStyle w:val="Normal"/>
        <w:rPr/>
      </w:pPr>
      <w:r>
        <w:rPr/>
      </w:r>
    </w:p>
    <w:p>
      <w:pPr>
        <w:pStyle w:val="Stopka"/>
        <w:spacing w:before="0" w:after="60"/>
        <w:ind w:hanging="0"/>
        <w:rPr>
          <w:b/>
          <w:b/>
          <w:u w:val="single"/>
        </w:rPr>
      </w:pPr>
      <w:r>
        <w:rPr>
          <w:b/>
          <w:u w:val="single"/>
        </w:rPr>
        <w:t xml:space="preserve">Pozostałe obszary </w:t>
      </w:r>
    </w:p>
    <w:p>
      <w:pPr>
        <w:pStyle w:val="Normal"/>
        <w:rPr/>
      </w:pPr>
      <w:r>
        <w:rPr/>
        <w:t xml:space="preserve">Prognozę dotyczącą wytwarzania odpadów, ścieków, zapotrzebowania na media oraz materiały eksploatacyjne, sporządzono w oparciu o dostępną wiedzę na temat instalacji termicznego przekształcania odpadów, doświadczenie zespołu, a także materiały dostarczone przez Inwestora i partnera technologicznego. </w:t>
      </w:r>
    </w:p>
    <w:p>
      <w:pPr>
        <w:pStyle w:val="Normal"/>
        <w:rPr/>
      </w:pPr>
      <w:r>
        <w:rPr/>
      </w:r>
    </w:p>
    <w:p>
      <w:pPr>
        <w:pStyle w:val="Nagwek2"/>
        <w:numPr>
          <w:ilvl w:val="1"/>
          <w:numId w:val="2"/>
        </w:numPr>
        <w:ind w:hanging="578"/>
        <w:rPr/>
      </w:pPr>
      <w:bookmarkStart w:id="136" w:name="_Toc518331355"/>
      <w:r>
        <w:rPr/>
        <w:t>Metodyka przeprowadzenia prognozy</w:t>
      </w:r>
      <w:bookmarkEnd w:id="136"/>
      <w:r>
        <w:rPr/>
        <w:t xml:space="preserve"> </w:t>
      </w:r>
    </w:p>
    <w:p>
      <w:pPr>
        <w:pStyle w:val="Normal"/>
        <w:rPr/>
      </w:pPr>
      <w:r>
        <w:rPr/>
        <w:t xml:space="preserve">Planowane przedsięwzięcie umożliwi produkcję ciepła z odpadów oraz spowoduje redukcję masy spalanego energetycznie oleju opałowego i węgla. </w:t>
      </w:r>
    </w:p>
    <w:p>
      <w:pPr>
        <w:pStyle w:val="Normal"/>
        <w:rPr/>
      </w:pPr>
      <w:r>
        <w:rPr/>
        <w:t xml:space="preserve">Oddziaływanie przedsięwzięcia rozpatrywano wieloaspektowo. Przyjęta metodyka wynika głównie z określonego prawem zakresu raportu o oddziaływaniu na środowisko, który narzuca ocenę oddziaływania na poszczególne komponenty środowiska w fazie budowy, eksploatacji i likwidacji przedsięwzięcia. </w:t>
      </w:r>
    </w:p>
    <w:p>
      <w:pPr>
        <w:pStyle w:val="Normal"/>
        <w:rPr/>
      </w:pPr>
      <w:r>
        <w:rPr/>
        <w:t xml:space="preserve">Przy przeprowadzeniu oceny wzięto pod uwagę wiedzę i doświadczenie zespołu, dostępne materiały i dane literaturowe, dokumenty określające wymagania najlepszej dostępnej techniki oraz materiały dostarczone przez Inwestora oraz wybranego partnera technologicznego, w tym m.in. wyniki badań emisji wykonane dla instalacji referencyjnej. </w:t>
      </w:r>
    </w:p>
    <w:p>
      <w:pPr>
        <w:pStyle w:val="Normal"/>
        <w:rPr/>
      </w:pPr>
      <w:r>
        <w:rPr/>
      </w:r>
    </w:p>
    <w:p>
      <w:pPr>
        <w:pStyle w:val="Nagwek2"/>
        <w:numPr>
          <w:ilvl w:val="1"/>
          <w:numId w:val="2"/>
        </w:numPr>
        <w:ind w:hanging="578"/>
        <w:rPr/>
      </w:pPr>
      <w:bookmarkStart w:id="137" w:name="_Toc518331356"/>
      <w:r>
        <w:rPr/>
        <w:t>Opis przewidywanych znaczących oddziaływań planowanego przedsięwzięcia na środowisko</w:t>
      </w:r>
      <w:bookmarkEnd w:id="137"/>
      <w:r>
        <w:rPr/>
        <w:t xml:space="preserve"> </w:t>
      </w:r>
    </w:p>
    <w:p>
      <w:pPr>
        <w:pStyle w:val="Normal"/>
        <w:rPr/>
      </w:pPr>
      <w:r>
        <w:rPr/>
        <w:t xml:space="preserve">Jednym z wymogów formalnych przeprowadzenia oceny oddziaływania planowanego przedsięwzięcia na środowisko jest opis przewidywanych znaczących oddziaływań planowanego przedsięwzięcia na środowisko, obejmujący bezpośrednie, pośrednie, wtórne, skumulowane, krótko-, średnio- i długoterminowe, stałe i chwilowe oddziaływania na środowisko, wynikające z: </w:t>
      </w:r>
    </w:p>
    <w:p>
      <w:pPr>
        <w:pStyle w:val="Normal"/>
        <w:numPr>
          <w:ilvl w:val="0"/>
          <w:numId w:val="53"/>
        </w:numPr>
        <w:shd w:val="clear" w:color="auto" w:fill="FFFFFF"/>
        <w:rPr/>
      </w:pPr>
      <w:r>
        <w:rPr/>
        <w:t xml:space="preserve">istnienia przedsięwzięcia; </w:t>
      </w:r>
    </w:p>
    <w:p>
      <w:pPr>
        <w:pStyle w:val="Normal"/>
        <w:numPr>
          <w:ilvl w:val="0"/>
          <w:numId w:val="53"/>
        </w:numPr>
        <w:shd w:val="clear" w:color="auto" w:fill="FFFFFF"/>
        <w:rPr/>
      </w:pPr>
      <w:r>
        <w:rPr/>
        <w:t xml:space="preserve">wykorzystywania zasobów środowiska; </w:t>
      </w:r>
    </w:p>
    <w:p>
      <w:pPr>
        <w:pStyle w:val="Normal"/>
        <w:numPr>
          <w:ilvl w:val="0"/>
          <w:numId w:val="53"/>
        </w:numPr>
        <w:shd w:val="clear" w:color="auto" w:fill="FFFFFF"/>
        <w:rPr/>
      </w:pPr>
      <w:r>
        <w:rPr/>
        <w:t xml:space="preserve">emisji. </w:t>
      </w:r>
    </w:p>
    <w:p>
      <w:pPr>
        <w:pStyle w:val="Normal"/>
        <w:rPr/>
      </w:pPr>
      <w:r>
        <w:rPr/>
        <w:t xml:space="preserve">Poniżej przedstawiono podsumowanie znaczących oddziaływań na poszczególne komponenty środowiska geograficznego. </w:t>
      </w:r>
    </w:p>
    <w:p>
      <w:pPr>
        <w:pStyle w:val="Normal"/>
        <w:rPr/>
      </w:pPr>
      <w:r>
        <w:rPr/>
      </w:r>
    </w:p>
    <w:p>
      <w:pPr>
        <w:pStyle w:val="Stopka"/>
        <w:spacing w:before="0" w:after="60"/>
        <w:ind w:hanging="0"/>
        <w:rPr>
          <w:b/>
          <w:b/>
          <w:u w:val="single"/>
        </w:rPr>
      </w:pPr>
      <w:r>
        <w:rPr>
          <w:b/>
          <w:u w:val="single"/>
        </w:rPr>
        <w:t xml:space="preserve">Wody powierzchniowe </w:t>
      </w:r>
    </w:p>
    <w:p>
      <w:pPr>
        <w:pStyle w:val="Normal"/>
        <w:rPr/>
      </w:pPr>
      <w:r>
        <w:rPr/>
        <w:t xml:space="preserve">Brak znaczących oddziaływań na etapie realizacji, eksploatacji oraz likwidacji przedsięwzięcia. Jedynym możliwym zagrożeniem jest zagrożenie towarzyszące wystąpieniu zdarzenia/sytuacji awaryjnej, takiej jak np. pożar zakładu. Ze względu na to, że wody opadowe z terenu przedsięwzięcia będą odprowadzane do miejskiej kanalizacji deszczowej istnieje ryzyko przedostania się części wód gaśniczych poza teren przedsięwzięcia (w sytuacji niekontrolowanego rozwoju pożaru i powstania znacznych ilości zanieczyszczonych chemicznie wód z działań ratowniczo-gaśniczych i/lub niesprzyjających warunków meteorologicznych tj. długotrwałe opady deszczu, deszcze nawalne, inne). Taka sytuacja potencjalnie może stanowić zagrożenia dla wód powierzchniowych, w przypadku, odprowadzenia zanieczyszczonych chemicznie wód z działań ratowniczo-gaśniczych do miejskiego kolektora wód deszczowych.  </w:t>
      </w:r>
    </w:p>
    <w:p>
      <w:pPr>
        <w:pStyle w:val="Normal"/>
        <w:rPr/>
      </w:pPr>
      <w:r>
        <w:rPr/>
        <w:t>Oddziaływanie w takim wypadku zostało zminimalizowane, w związku z zaplanowanym montażem zasuwy odcinającej system kanalizacji wód opadowych zakładu od sieci kanalizacji miejskiej. Zanieczyszczone wody z działań gaśniczych zostaną retencjonowane na terenie zakładu w budynku, sieci kanalizacji i zbiorniku retencyjnym wód opadowych, a dalsze z nimi postępowanie (odprowadzenie do kanalizacji miejskiej, wywóz i utylizacja) uzależnione będzie od ich właściwości i składu chemicznego oraz zgody administratora  miejskiej sieci kanalizacji na ich oraz decyzji uprawnionych służb ochrony środowiska.</w:t>
      </w:r>
    </w:p>
    <w:p>
      <w:pPr>
        <w:pStyle w:val="Normal"/>
        <w:ind w:hanging="0"/>
        <w:rPr/>
      </w:pPr>
      <w:r>
        <w:rPr/>
      </w:r>
    </w:p>
    <w:p>
      <w:pPr>
        <w:pStyle w:val="Stopka"/>
        <w:spacing w:before="0" w:after="60"/>
        <w:ind w:hanging="0"/>
        <w:rPr>
          <w:b/>
          <w:b/>
          <w:u w:val="single"/>
        </w:rPr>
      </w:pPr>
      <w:r>
        <w:rPr>
          <w:b/>
          <w:u w:val="single"/>
        </w:rPr>
        <w:t xml:space="preserve">Wody podziemne </w:t>
      </w:r>
    </w:p>
    <w:p>
      <w:pPr>
        <w:pStyle w:val="Normal"/>
        <w:rPr/>
      </w:pPr>
      <w:r>
        <w:rPr/>
        <w:t xml:space="preserve">Brak jest realnych, znaczących oddziaływań zakładu w fazie budowy, eksploatacji i  likwidacji inwestycji na wody podziemne zarówno w skali lokalnej jak i regionalnej. Cały teren zakładu zostanie odpowiednio zabezpieczony (uszczelnienie, odwodnienie powierzchni potencjalnie narażonych na zanieczyszczenie, urządzenia podczyszczające wody opadowe, brak bezpośredniego odprowadzania substancji lub energii do gruntu i wód podziemnych). </w:t>
      </w:r>
    </w:p>
    <w:p>
      <w:pPr>
        <w:pStyle w:val="Normal"/>
        <w:rPr/>
      </w:pPr>
      <w:r>
        <w:rPr/>
        <w:t>Jedyne zagrożenie dla środowiska gruntowo – wodnego jest analogiczne jak dla wód powierzchniowych i wiąże się z ewentualną sytuacją awaryjną, w szczególności taką jak pożar. W takim wypadku oddziaływanie będzie miało charakter pośredni (wprowadzanie ewentualnych zanieczyszczeń do gruntu, a nie wód podziemnych), krótkoterminowy i chwilowy. Będzie miało także lokalny charakter.</w:t>
      </w:r>
    </w:p>
    <w:p>
      <w:pPr>
        <w:pStyle w:val="Normal"/>
        <w:rPr/>
      </w:pPr>
      <w:r>
        <w:rPr/>
        <w:t>W przypadku opisanej sytuacji awaryjnej, zarówno w przypadku wód powierzchniowych jak i podziemnych do ewentualnego zanieczyszczenia mogłoby dojść jedynie w bardzo niekorzystnych warunkach, np. spóźnionych lub nieskutecznych działań gaśniczych i/lub eskalacji pożaru (znacznego rozwoju pożaru). Ze względu na planowane i wymagane przepisami ppoż. środki bezpieczeństwa prawdopodobieństwo wystąpienia powyższej sytuacji należy określić jako bardzo mało prawdopodobne lub niemożliwe. W przypadku prowadzenia działań gaśniczych całość wód zostanie retencjonowana na terenie zakładu, a ich zagospodarowanie nastąpi po określeniu ich jakości i składu i możliwości bezpiecznego dla środowiska zagospodarowania. W przypadku wystąpienia pożaru lub innego miejscowego zagrożenia prowadzący instalację zobowiązany jest do powiadomienia o zdarzeniu m.in. właściwą jednostkę PSP.</w:t>
      </w:r>
    </w:p>
    <w:p>
      <w:pPr>
        <w:pStyle w:val="Normal"/>
        <w:rPr/>
      </w:pPr>
      <w:r>
        <w:rPr/>
      </w:r>
    </w:p>
    <w:p>
      <w:pPr>
        <w:pStyle w:val="Stopka"/>
        <w:spacing w:before="0" w:after="60"/>
        <w:ind w:hanging="0"/>
        <w:rPr>
          <w:b/>
          <w:b/>
          <w:u w:val="single"/>
        </w:rPr>
      </w:pPr>
      <w:r>
        <w:rPr>
          <w:b/>
          <w:u w:val="single"/>
        </w:rPr>
        <w:t xml:space="preserve">Powietrze atmosferyczne, klimat akustyczny </w:t>
      </w:r>
    </w:p>
    <w:p>
      <w:pPr>
        <w:pStyle w:val="Normal"/>
        <w:rPr/>
      </w:pPr>
      <w:r>
        <w:rPr/>
        <w:t xml:space="preserve">Analizowane przedsięwzięcie w głównej mierze będzie oddziaływać na jakość powietrza </w:t>
        <w:br/>
        <w:t xml:space="preserve">i na klimat akustyczny w rejonie zakładu. W fazie budowy i ewentualnie podczas likwidacji, </w:t>
        <w:br/>
        <w:t xml:space="preserve">w związku z prowadzonymi pracami budowlanymi, będzie występowało negatywne oddziaływanie na jakość powierza i klimat akustyczny tylko w skali lokalnej. Nie będzie to oddziaływanie znaczne, lecz bezpośrednie, krótkotrwałe i chwilowe, ograniczone do miejsca prowadzenia prac budowlanych. </w:t>
      </w:r>
    </w:p>
    <w:p>
      <w:pPr>
        <w:pStyle w:val="Normal"/>
        <w:rPr/>
      </w:pPr>
      <w:r>
        <w:rPr/>
        <w:t xml:space="preserve">W trakcie eksploatacji przedsięwzięcie będzie oddziaływać niekorzystnie zarówno na powietrze atmosferyczne jak i klimat akustyczny jak niemal każdy obiekt o charakterze przemysłowym. W analizowanym przypadku nie będziemy mieli do czynienia z oddziaływaniem znacznym, jednak będzie to oddziaływanie bezpośrednie, długoterminowe i trwałe. Jego skala będzie niewielka, lokalna, ograniczona do terenu przedsięwzięcia i bezpośredniego sąsiedztwa. W przypadku emisji gazów i pyłów do powietrza oraz emisji hałasu, oddziaływaniem jest każda emisja, jednak w analizowanym przypadku instalacja będzie spełniała wszystkie obowiązujące wymogi określające standardy emisji zanieczyszczeń i hałasu. W ocenie autorów opracowania, przy istniejących założeniach prognozowane oddziaływanie nie będzie miało negatywnego wpływu na zdrowie i życie ludzi oraz na środowisko przyrodnicze. </w:t>
      </w:r>
    </w:p>
    <w:p>
      <w:pPr>
        <w:pStyle w:val="Normal"/>
        <w:rPr/>
      </w:pPr>
      <w:r>
        <w:rPr/>
        <w:t xml:space="preserve">Dzięki wyposażeniu zakładu w dwie linie technologiczne,  wyłączenie/awaria kotła jednej linii, nie będzie oddziaływało na funkcjonowanie całego zakładu  ograniczy wielkość emisji w warunkach odbiegających od tzw. normalnych warunków pracy. </w:t>
      </w:r>
    </w:p>
    <w:p>
      <w:pPr>
        <w:pStyle w:val="Normal"/>
        <w:rPr/>
      </w:pPr>
      <w:r>
        <w:rPr/>
        <w:t xml:space="preserve">Realizacja przedmiotowej inwestycji będzie oddziaływać pozytywnie w skali regionalnej. Wynika to z zastąpienia istniejących źródeł energetycznych na paliwa konwencjonalne wysokosprawnym, nowoczesnym źródłem energii cieplnej. Takie działanie może przyczynić się do poprawy jakości powietrza w Żywcu, a przynajmniej w dzielnicy Zabłocie. </w:t>
      </w:r>
    </w:p>
    <w:p>
      <w:pPr>
        <w:pStyle w:val="Normal"/>
        <w:rPr/>
      </w:pPr>
      <w:r>
        <w:rPr/>
      </w:r>
    </w:p>
    <w:p>
      <w:pPr>
        <w:pStyle w:val="Stopka"/>
        <w:spacing w:before="0" w:after="60"/>
        <w:ind w:hanging="0"/>
        <w:rPr/>
      </w:pPr>
      <w:r>
        <w:rPr>
          <w:b/>
          <w:u w:val="single"/>
        </w:rPr>
        <w:t xml:space="preserve"> </w:t>
      </w:r>
      <w:r>
        <w:rPr>
          <w:b/>
          <w:u w:val="single"/>
        </w:rPr>
        <w:t xml:space="preserve">Powierzchnia terenu </w:t>
      </w:r>
    </w:p>
    <w:p>
      <w:pPr>
        <w:pStyle w:val="Normal"/>
        <w:rPr/>
      </w:pPr>
      <w:r>
        <w:rPr/>
        <w:t>Brak jest negatywnych oddziaływań lub oddziaływanie to jest pomijalnie małe dla fazy budowy zarówno w skali regionalnej, jak i w skali lokalnej. Natomiast w fazie eksploatacji Instalacji oddziaływanie negatywne będzie się wiązać głownie z zajęciem terenu pod samą inwestycję, jest to oddziaływanie w skali lokalnej o nieznaczącym charakterze utrzymujące dotychczasowy sposób zagospodarowania terenu. Instalacja będzie zlokalizowana na terenie przeznaczonym pod zabudowę przemysłową. Może wystąpić również nieznaczne oddziaływanie w skali lokalnej w fazie eksploatacji związane z potencjalnym ryzykiem zanieczyszczenia gleb substancjami, które mogą przedostać się z kanalizacji deszczowej, takimi jak substancje ropopochodne, powstałe w wyniku niekontrolowanych wycieków z pracujących maszyn i urządzeń technicznych. Oddziaływanie to będzie eliminowane poprzez opisane w raporcie działania, w tym odpowiedni nadzór nad wykorzystywanymi urządzeniami oraz zakaz ich naprawy i tankowania na terenie przedsięwzięcia.</w:t>
      </w:r>
    </w:p>
    <w:p>
      <w:pPr>
        <w:pStyle w:val="Normal"/>
        <w:rPr/>
      </w:pPr>
      <w:r>
        <w:rPr/>
      </w:r>
    </w:p>
    <w:p>
      <w:pPr>
        <w:pStyle w:val="Stopka"/>
        <w:spacing w:before="0" w:after="60"/>
        <w:ind w:hanging="0"/>
        <w:rPr/>
      </w:pPr>
      <w:r>
        <w:rPr>
          <w:b/>
          <w:u w:val="single"/>
        </w:rPr>
        <w:t xml:space="preserve">Roślinność, zwierzęta, obszary chronione </w:t>
      </w:r>
    </w:p>
    <w:p>
      <w:pPr>
        <w:pStyle w:val="Normal"/>
        <w:rPr/>
      </w:pPr>
      <w:r>
        <w:rPr/>
        <w:t xml:space="preserve">Etap realizacji będzie miał nieznaczny negatywny wpływ na faunę i florę znajdującą się na terenie inwestycji. Oddziaływanie to będzie krótkotrwałe i chwilowe. W tej fazie nie przewiduje się oddziaływania na faunę i florę w skali regionalnej. </w:t>
      </w:r>
    </w:p>
    <w:p>
      <w:pPr>
        <w:pStyle w:val="Normal"/>
        <w:rPr/>
      </w:pPr>
      <w:r>
        <w:rPr/>
        <w:t xml:space="preserve">Ze względu na lokalny charakter instalacji i jej oddziaływania, w fazie eksploatacji nie przewiduje się oddziaływania na faunę i florę na terenach chronionych w sąsiedztwie zakładu. </w:t>
      </w:r>
    </w:p>
    <w:p>
      <w:pPr>
        <w:pStyle w:val="Stopka"/>
        <w:spacing w:before="0" w:after="60"/>
        <w:ind w:hanging="0"/>
        <w:rPr>
          <w:b/>
          <w:b/>
          <w:u w:val="single"/>
        </w:rPr>
      </w:pPr>
      <w:r>
        <w:rPr>
          <w:b/>
          <w:u w:val="single"/>
        </w:rPr>
        <w:t xml:space="preserve"> </w:t>
      </w:r>
      <w:r>
        <w:rPr>
          <w:b/>
          <w:u w:val="single"/>
        </w:rPr>
        <w:t xml:space="preserve">Ludność </w:t>
      </w:r>
    </w:p>
    <w:p>
      <w:pPr>
        <w:pStyle w:val="Normal"/>
        <w:rPr/>
      </w:pPr>
      <w:r>
        <w:rPr/>
        <w:t xml:space="preserve">Budowa i eksploatacja Instalacji może stwarzać nieznaczny, negatywny wpływ (hałas, zanieczyszczenie powietrza) na okolicznych mieszkańców, jednak nie będzie on dla nich szkodliwy, ze względu na dotrzymanie standardów emisyjnych i dopuszczalnych norm, zgodnie z obowiązującymi uregulowaniami prawnymi. Lokalizacja Instalacji na terenie przemysłowym spowoduje, iż funkcjonowanie Instalacji nie będzie dla okolicznych mieszkańców uciążliwe. </w:t>
      </w:r>
    </w:p>
    <w:p>
      <w:pPr>
        <w:pStyle w:val="Normal"/>
        <w:rPr/>
      </w:pPr>
      <w:r>
        <w:rPr/>
        <w:t xml:space="preserve">Przed ewentualnymi uciążliwościami związanymi z planowaną inwestycją, zadania ochronne spełniać będzie zaawansowany system oczyszczania spalin. Jak wykazano w toku przeprowadzonych obliczeń na poziomie terenu oraz na wysokości obiektów zabudowy, </w:t>
        <w:br/>
        <w:t xml:space="preserve">w żadnym z badanych punktów zabudowy nie zostaną przekroczone normy - częstość przekraczania wartości D1 przez stężenie uśrednione dla jednej godziny jest zgodna z normami. Nie odnotowano również przekroczeń stężeń średniorocznych. Instalacja będzie spełniała wymogi rozporządzenia Ministra Środowiska z dnia 4 listopada 2014 r. </w:t>
      </w:r>
      <w:r>
        <w:rPr>
          <w:i/>
        </w:rPr>
        <w:t xml:space="preserve">w sprawie standardów emisyjnych dla niektórych rodzajów instalacji, źródeł spalania paliw oraz urządzeń spalania lub współspalania odpadów </w:t>
      </w:r>
      <w:r>
        <w:rPr/>
        <w:t xml:space="preserve">(Dz.U.2014.1546 ze zm.), co umożliwi dotrzymanie poziomów niektórych oraz wartości odniesienia dla niektórych substancji w powietrzu. Zostaną również podjęte kroki związane z właściwym zagospodarowaniem terenu przedsięwzięcia zielenią. W związku z tym oddziaływanie negatywne będzie nieznaczące przy pozytywnych korzyściach społecznych, zarówno w skali lokalnej jak i regionalnej. W wyniku procesu spalania odpadów wytwarzana będzie energia cieplna na potrzeby zakładów przemysłowych oraz innych obiektów, w tym mieszkańców miasta. </w:t>
      </w:r>
    </w:p>
    <w:p>
      <w:pPr>
        <w:pStyle w:val="Normal"/>
        <w:rPr/>
      </w:pPr>
      <w:r>
        <w:rPr/>
      </w:r>
    </w:p>
    <w:p>
      <w:pPr>
        <w:pStyle w:val="Stopka"/>
        <w:spacing w:before="0" w:after="60"/>
        <w:ind w:hanging="0"/>
        <w:rPr>
          <w:b/>
          <w:b/>
          <w:u w:val="single"/>
        </w:rPr>
      </w:pPr>
      <w:r>
        <w:rPr>
          <w:b/>
          <w:u w:val="single"/>
        </w:rPr>
        <w:t xml:space="preserve">Krajobraz </w:t>
      </w:r>
    </w:p>
    <w:p>
      <w:pPr>
        <w:pStyle w:val="Normal"/>
        <w:rPr/>
      </w:pPr>
      <w:r>
        <w:rPr/>
        <w:t xml:space="preserve">Nie przewiduje się znacznego oddziaływania na krajobraz w fazie realizacji, eksploatacji i likwidacji przedsięwzięcia ze względu na usytuowanie w zagospodarowanym krajobrazie przemysłowym. Podczas budowy może mieć miejsce bezpośrednie, krótkoterminowe i  chwilowe oddziaływanie w niewielkim zakresie związanym z pracami rozbiórkowymi i samą budową (widok „rozgrzebanej” budowy). </w:t>
      </w:r>
    </w:p>
    <w:p>
      <w:pPr>
        <w:pStyle w:val="Normal"/>
        <w:rPr/>
      </w:pPr>
      <w:r>
        <w:rPr/>
      </w:r>
    </w:p>
    <w:p>
      <w:pPr>
        <w:pStyle w:val="Stopka"/>
        <w:spacing w:before="0" w:after="60"/>
        <w:ind w:hanging="0"/>
        <w:rPr>
          <w:b/>
          <w:b/>
          <w:u w:val="single"/>
        </w:rPr>
      </w:pPr>
      <w:r>
        <w:rPr>
          <w:b/>
          <w:u w:val="single"/>
        </w:rPr>
        <w:t xml:space="preserve">Dobra kultury i materialne </w:t>
      </w:r>
    </w:p>
    <w:p>
      <w:pPr>
        <w:pStyle w:val="Normal"/>
        <w:rPr/>
      </w:pPr>
      <w:r>
        <w:rPr/>
        <w:t xml:space="preserve">Brak jest istotnych oddziaływań podczas realizacji, eksploatacji i likwidacji przedsięwzięcia. </w:t>
      </w:r>
    </w:p>
    <w:p>
      <w:pPr>
        <w:pStyle w:val="Normal"/>
        <w:spacing w:lineRule="auto" w:line="360"/>
        <w:rPr/>
      </w:pPr>
      <w:r>
        <w:rPr/>
        <w:t xml:space="preserve"> </w:t>
      </w:r>
    </w:p>
    <w:p>
      <w:pPr>
        <w:pStyle w:val="Nagwek1"/>
        <w:numPr>
          <w:ilvl w:val="0"/>
          <w:numId w:val="2"/>
        </w:numPr>
        <w:rPr/>
      </w:pPr>
      <w:bookmarkStart w:id="138" w:name="_Toc518331357"/>
      <w:bookmarkEnd w:id="138"/>
      <w:r>
        <w:rPr/>
        <w:t>DZIAŁANIA MAJĄCE NA CELU UNIKANIE, ZAPOBIEGANIE, OGRANICZANIE LUB KOMPENSACJĘ PRZYRODNICZĄ NEGATYWNYCH ODDZIAŁYWAŃ NA ŚRODOWISKO, W SZCZEGÓLNOŚCI NA FORMY OCHRONY PRZYRODY ORAZ CIĄGŁOŚĆ ŁĄCZĄCYCH JE KORYTARZY EKOLOGICZNYCH</w:t>
      </w:r>
    </w:p>
    <w:p>
      <w:pPr>
        <w:pStyle w:val="Nagwek2"/>
        <w:numPr>
          <w:ilvl w:val="1"/>
          <w:numId w:val="2"/>
        </w:numPr>
        <w:ind w:hanging="578"/>
        <w:rPr/>
      </w:pPr>
      <w:bookmarkStart w:id="139" w:name="_Toc518331358"/>
      <w:r>
        <w:rPr/>
        <w:t>Metody ochrony powietrza</w:t>
      </w:r>
      <w:bookmarkEnd w:id="139"/>
      <w:r>
        <w:rPr/>
        <w:t xml:space="preserve"> </w:t>
      </w:r>
    </w:p>
    <w:p>
      <w:pPr>
        <w:pStyle w:val="Normal"/>
        <w:rPr/>
      </w:pPr>
      <w:r>
        <w:rPr/>
        <w:t xml:space="preserve">W przypadku instalacji termicznego przekształcania odpadów emisja do powietrza jest najbardziej istotnym źródłem oddziaływania na środowisko. Jest to także ten aspekt funkcjonowania instalacji, który wzbudza największe emocje społeczne, ze względu na możliwość emisji substancji szczególnie szkodliwych dla zdrowia, takich jak dioksyny i furany. </w:t>
      </w:r>
    </w:p>
    <w:p>
      <w:pPr>
        <w:pStyle w:val="Normal"/>
        <w:rPr/>
      </w:pPr>
      <w:r>
        <w:rPr/>
        <w:t xml:space="preserve">W planowanej instalacji termicznego przekształcania odpadów zastosowano wysokosprawny, nowoczesny, suchy system oczyszczania spalin, gdzie po wcześniejszym schłodzeniu i nawilżeniu spalin, następuje neutralizacja wraz z absorpcją HCl i HF w oparciu o wodorotlenek lub węglan wapniowy lub ostatnio kwaśny siarczyn sodowy, po czym ma miejsce dozowanie węgla aktywnego w celu eliminacji polichlorowanych dioksyn i furanów. Dozowanie węgla aktywnego umożliwia także ograniczenie emisji innych związków organicznych oraz metali ciężkich. Zastosowana na następnym etapie filtracja pyłu w systemie filtra tkaninowego pozwala skutecznie usunąć pyły ze spalania oraz pyły powstałe w procesie dozowania sorbentów. Zastosowany system oczyszczania spalin pozwoli na dotrzymanie standardów emisyjnych, zapisanych w rozporządzeniu Ministra Środowiska z dnia 1 marca 2018 r. </w:t>
        <w:br/>
      </w:r>
      <w:r>
        <w:rPr>
          <w:i/>
        </w:rPr>
        <w:t>w sprawie standardów emisyjnych z niektórych rodzajów instalacji, źródeł spalania paliw oraz urządzeń spalania lub współspalania odpadów</w:t>
      </w:r>
      <w:r>
        <w:rPr/>
        <w:t xml:space="preserve"> (Dz.U.2018, poz. 680).</w:t>
      </w:r>
    </w:p>
    <w:p>
      <w:pPr>
        <w:pStyle w:val="Normal"/>
        <w:rPr/>
      </w:pPr>
      <w:r>
        <w:rPr/>
        <w:t xml:space="preserve">Zastosowane metody ochrony powietrza będą w pełni zabezpieczać przed ponadnormatywną emisją zanieczyszczeń do powietrza w trakcie normalnej pracy instalacji. W przypadku wystąpienia zakłóceń mogących powodować podwyższenie stężenia zanieczyszczeń w gazach spalinowych, możliwe jest i będzie stosowane natychmiastowe odcięcie dopływu powietrza do pieca i zrzut paliwa do komory wygarniacza. Spowoduje to ograniczenie do minimum czasu emisji zanieczyszczeń o stężeniach ponadnormatywnych. Szacuje się, że dzięki takiemu rozwiązaniu możliwe jest ograniczenie ewentualnej emisji ponadnormatywnej w warunkach odbiegających do normalnych wyłącznie do objętości komory pieca. </w:t>
      </w:r>
    </w:p>
    <w:p>
      <w:pPr>
        <w:pStyle w:val="Normal"/>
        <w:rPr/>
      </w:pPr>
      <w:r>
        <w:rPr/>
        <w:t>Ponadto w zakładzie zastosowane będą następujące rozwiązania mające na celu zapobieganie lub ograniczanie oddziaływania na powietrze:</w:t>
      </w:r>
    </w:p>
    <w:p>
      <w:pPr>
        <w:pStyle w:val="NormalWeb"/>
        <w:numPr>
          <w:ilvl w:val="0"/>
          <w:numId w:val="74"/>
        </w:numPr>
        <w:spacing w:beforeAutospacing="0" w:before="0" w:afterAutospacing="0" w:after="0"/>
        <w:ind w:left="709" w:hanging="312"/>
        <w:rPr/>
      </w:pPr>
      <w:r>
        <w:rPr/>
        <w:t>Instalacja będzie sterowana automatycznie.</w:t>
      </w:r>
    </w:p>
    <w:p>
      <w:pPr>
        <w:pStyle w:val="NormalWeb"/>
        <w:numPr>
          <w:ilvl w:val="0"/>
          <w:numId w:val="74"/>
        </w:numPr>
        <w:spacing w:beforeAutospacing="0" w:before="0" w:afterAutospacing="0" w:after="0"/>
        <w:ind w:left="709" w:hanging="312"/>
        <w:rPr/>
      </w:pPr>
      <w:r>
        <w:rPr/>
        <w:t xml:space="preserve">W wyniku procesu spalania paliwa z ograniczonym dostępem tlenu powstaje mieszanina gazów palnych, których  proces dopalania odbywa się w kolejnych komorach dopalania pieca rusztowego. Gazy lotne powstałe w procesie spalania paliwa z ograniczonym dostępem tlenu są przetrzymywane w komorach dopalania pieca rusztowego przez wymagany czas dwóch sekund w temperaturze co najmniej 850°C przy odpadach zawierających do 1% chloru lub w temperaturze co najmniej 1100°C przy odpadach zawierających powyżej 1% chloru. Przetrzymanie gazów spalinowych w komorach dopalania pozwala na całkowite dopalenie lotnych związków organicznych i na dokonanie rozkładu węglowodorów pierścieniowych, które pod wpływem wysokiej temperatury i czasu retencji gazów rozkładają się na nieszkodliwe węglowodory proste ulegające procesowi dopalania. Powyższe założenie dotyczące temperatury dopalania odnoszą się do warunków testowych i spełnienia minimalnych wymagań ustawowych. Z informacji uzyskanej od partnera technologicznego Inwestora, który będzie dostarczał instalację uzyskano informację, że ze względu na konieczność zachowania najwyższych możliwych standardów, w przypadku planowanego przedsięwzięcia projekt technologiczny zakłada w komorach dopalania temperaturę co najmniej 1100°C. </w:t>
      </w:r>
    </w:p>
    <w:p>
      <w:pPr>
        <w:pStyle w:val="NormalWeb"/>
        <w:numPr>
          <w:ilvl w:val="0"/>
          <w:numId w:val="74"/>
        </w:numPr>
        <w:spacing w:beforeAutospacing="0" w:before="0" w:afterAutospacing="0" w:after="0"/>
        <w:ind w:left="709" w:hanging="312"/>
        <w:rPr/>
      </w:pPr>
      <w:r>
        <w:rPr/>
        <w:t>Nie przewiduje się magazynowania paliwa. Całość dostarczanego paliwa będzie na bieżąco podawana do leja zasypowego. Cała operacja rozładunku będzie się odbywać</w:t>
        <w:br/>
        <w:t>w pomieszczeniu, poprzez rampę rozładowczą. Powietrze z części budynku, gdzie będzie następowało rozładowanie paliwa, będzie zasysane do hali kotłowni, poprzez wentylator wyciągowy. W ten sposób w strefie rozładunku będzie panowało lekkie podciśnienie,</w:t>
        <w:br/>
        <w:t>a w najgorszym razie będzie następował wymuszony ruch powietrza do wewnątrz budynku. To rozwiązanie zapewni całkowite wyeliminowanie uciążliwości zapachowej, która mogłaby towarzyszyć rozładunkowi paliwa alternatywnego.</w:t>
      </w:r>
    </w:p>
    <w:p>
      <w:pPr>
        <w:pStyle w:val="NormalWeb"/>
        <w:numPr>
          <w:ilvl w:val="0"/>
          <w:numId w:val="74"/>
        </w:numPr>
        <w:spacing w:beforeAutospacing="0" w:before="0" w:afterAutospacing="0" w:after="0"/>
        <w:ind w:left="709" w:hanging="312"/>
        <w:rPr/>
      </w:pPr>
      <w:r>
        <w:rPr/>
        <w:t>Odpowietrzanie silosów z sorbentami w związku z ich załadunkiem będzie odbywać się</w:t>
        <w:br/>
        <w:t xml:space="preserve">w hali, nie będzie emitora odprowadzającego zanieczyszczania pyłowe do atmosfery, </w:t>
      </w:r>
    </w:p>
    <w:p>
      <w:pPr>
        <w:pStyle w:val="NormalWeb"/>
        <w:numPr>
          <w:ilvl w:val="0"/>
          <w:numId w:val="74"/>
        </w:numPr>
        <w:spacing w:beforeAutospacing="0" w:before="0" w:afterAutospacing="0" w:after="0"/>
        <w:ind w:left="709" w:hanging="312"/>
        <w:rPr/>
      </w:pPr>
      <w:r>
        <w:rPr/>
        <w:t>W instalacji planowane jest zastosowanie mokrego systemu odżużlania, dzięki któremu nie wystąpi wtórne pylenie w czasie przemieszczania odpadu do kontenera zlokalizowanego na zewnątrz hali oraz odbioru tego odpadu przed uprawnione podmioty zewnętrzne.</w:t>
      </w:r>
    </w:p>
    <w:p>
      <w:pPr>
        <w:pStyle w:val="Normal"/>
        <w:rPr/>
      </w:pPr>
      <w:r>
        <w:rPr/>
        <w:t xml:space="preserve">Ze względu na to, że w Żywcu przekroczone są poziomy niektórych substancji w powietrzu, w tym zwłaszcza pyłu PM10 i PM2,5, uruchomienie instalacji i uzyskanie pozwolenia na wprowadzanie gazów i pyłów do powietrza będzie się wiązało z przeprowadzeniem procedury kompensacyjnej. Polega ona na tym, że wnioskujący ma obowiązek zapewnić zmniejszenie emisji tych zanieczyszczeń ze źródeł istniejących w wielkości, która będzie odpowiadała emisji </w:t>
        <w:br/>
        <w:t xml:space="preserve">z nowo uruchamianej instalacji. Mając na uwadze łatwą zastępowalność źródła produkcji ciepła, w przypadku procedury kompensacyjnej wskazane jest bezpośrednie zastąpienie istniejących źródeł energetycznych opalanych olejem opałowym lub węglem. Takie działanie niewątpliwie mogą przyczynić się do poprawy jakości powietrza. </w:t>
      </w:r>
    </w:p>
    <w:p>
      <w:pPr>
        <w:pStyle w:val="Normal"/>
        <w:rPr/>
      </w:pPr>
      <w:r>
        <w:rPr/>
        <w:t>Wpływ na zmniejszenie emisji ma również wyposażenie zakładu w dwie linie technologiczne o równorzędnej mocy - dzięki takiemu rozwiązaniu, ewentualna awaria np.  wyłączenie kotła nie będzie miało wpływu na funkcjonowanie całego zakładu, co w rezultacie także spowoduje zmniejszenie emisji (ewentualna emisja w warunkach odbiegających od normalnych tylko z jednej linii).</w:t>
      </w:r>
    </w:p>
    <w:p>
      <w:pPr>
        <w:pStyle w:val="Normal"/>
        <w:rPr/>
      </w:pPr>
      <w:r>
        <w:rPr/>
      </w:r>
    </w:p>
    <w:p>
      <w:pPr>
        <w:pStyle w:val="Nagwek2"/>
        <w:numPr>
          <w:ilvl w:val="1"/>
          <w:numId w:val="2"/>
        </w:numPr>
        <w:ind w:hanging="578"/>
        <w:rPr/>
      </w:pPr>
      <w:bookmarkStart w:id="140" w:name="_Toc518331359"/>
      <w:r>
        <w:rPr/>
        <w:t>Metody ochrony przed nadmiernym hałasem</w:t>
      </w:r>
      <w:bookmarkEnd w:id="140"/>
      <w:r>
        <w:rPr/>
        <w:t xml:space="preserve"> </w:t>
      </w:r>
    </w:p>
    <w:p>
      <w:pPr>
        <w:pStyle w:val="Normal"/>
        <w:rPr/>
      </w:pPr>
      <w:r>
        <w:rPr/>
        <w:t xml:space="preserve">Proces termicznego przekształcania odpadów będzie odbywał się w odpowiednio przygotowanych pomieszczeniach. Wszystkie urządzenia wykorzystane w prowadzonych procesach będą urządzeniami nowymi i odpowiednio zabezpieczonymi przed nadmierną emisją hałasu, w tym pozwalającymi na dotrzymanie odpowiedniego poziomu hałasu w środowisku pracy. Jedynym urządzeniem zainstalowanym na zewnątrz budynku, powodującym emisję hałasu będzie wentylator dachowy. </w:t>
      </w:r>
    </w:p>
    <w:p>
      <w:pPr>
        <w:pStyle w:val="Normal"/>
        <w:rPr/>
      </w:pPr>
      <w:r>
        <w:rPr/>
        <w:t xml:space="preserve">Zastosowana technologia będzie zgodna z najlepszą dostępną techniką, a sposób prowadzenia procesów i umieszczenie poszczególnych urządzeń pozwoli na dotrzymanie obowiązujących standardów akustycznych. </w:t>
      </w:r>
    </w:p>
    <w:p>
      <w:pPr>
        <w:pStyle w:val="Normal"/>
        <w:rPr/>
      </w:pPr>
      <w:r>
        <w:rPr/>
        <w:t>W zakładzie zostaną zastosowane następujące rozwiązania, ograniczające uciążliwość powodowaną hałasem:</w:t>
      </w:r>
    </w:p>
    <w:p>
      <w:pPr>
        <w:pStyle w:val="Normal"/>
        <w:numPr>
          <w:ilvl w:val="0"/>
          <w:numId w:val="34"/>
        </w:numPr>
        <w:ind w:left="714" w:hanging="357"/>
        <w:rPr/>
      </w:pPr>
      <w:r>
        <w:rPr/>
        <w:t>Ruch pojazdów ciężarowych będzie odbywał się wyłącznie w porze dnia.</w:t>
      </w:r>
    </w:p>
    <w:p>
      <w:pPr>
        <w:pStyle w:val="Normal"/>
        <w:numPr>
          <w:ilvl w:val="0"/>
          <w:numId w:val="34"/>
        </w:numPr>
        <w:ind w:left="714" w:hanging="357"/>
        <w:rPr/>
      </w:pPr>
      <w:r>
        <w:rPr/>
        <w:t>W hali produkcyjnej zostaną zastosowane urządzenia, których funkcjonowanie nie będzie powodować przekraczania dopuszczalnego poziomu ekspozycji na hałas, odniesionego do 8-godzinnego dobowego wymiaru czasu pracy, równego 85 dB (Rozporządzenie Ministra Pracy i Polityki Społecznej z dnia 6 czerwca 2014 r., Dz.U.2014, poz. 817).</w:t>
      </w:r>
    </w:p>
    <w:p>
      <w:pPr>
        <w:pStyle w:val="Normal"/>
        <w:numPr>
          <w:ilvl w:val="0"/>
          <w:numId w:val="34"/>
        </w:numPr>
        <w:ind w:left="714" w:hanging="357"/>
        <w:rPr/>
      </w:pPr>
      <w:r>
        <w:rPr/>
        <w:t>Główny wentylator wyciągowy zostanie umieszczony w obudowie akustycznej, umożliwiającej ograniczenie hałasu w hali do poziomu 85 dB.</w:t>
      </w:r>
    </w:p>
    <w:p>
      <w:pPr>
        <w:pStyle w:val="Normal"/>
        <w:numPr>
          <w:ilvl w:val="0"/>
          <w:numId w:val="34"/>
        </w:numPr>
        <w:ind w:left="714" w:hanging="357"/>
        <w:rPr/>
      </w:pPr>
      <w:r>
        <w:rPr/>
        <w:t>Na zewnątrz budynku produkcyjnego nie będzie żadnych punktowych źródeł hałasu.</w:t>
      </w:r>
    </w:p>
    <w:p>
      <w:pPr>
        <w:pStyle w:val="Normal"/>
        <w:rPr/>
      </w:pPr>
      <w:r>
        <w:rPr/>
      </w:r>
    </w:p>
    <w:p>
      <w:pPr>
        <w:pStyle w:val="Nagwek2"/>
        <w:numPr>
          <w:ilvl w:val="1"/>
          <w:numId w:val="2"/>
        </w:numPr>
        <w:ind w:hanging="578"/>
        <w:rPr/>
      </w:pPr>
      <w:bookmarkStart w:id="141" w:name="_Toc518331360"/>
      <w:r>
        <w:rPr/>
        <w:t>Metody ochrony wód powierzchniowych, podziemnych</w:t>
      </w:r>
      <w:bookmarkEnd w:id="141"/>
      <w:r>
        <w:rPr/>
        <w:t xml:space="preserve"> </w:t>
      </w:r>
    </w:p>
    <w:p>
      <w:pPr>
        <w:pStyle w:val="Normal"/>
        <w:rPr/>
      </w:pPr>
      <w:r>
        <w:rPr/>
        <w:t>Na terenie planowanego zakładu będą powstawały ścieki bytowe oraz ścieki przemysłowe z mycia urządzeń. Ponadto podczas eksploatacji będą powstawały wody opadowe i roztopowe, które w świetle obowiązujących przepisów nie są ściekami.</w:t>
      </w:r>
    </w:p>
    <w:p>
      <w:pPr>
        <w:pStyle w:val="Normal"/>
        <w:rPr/>
      </w:pPr>
      <w:r>
        <w:rPr/>
        <w:t xml:space="preserve">Ścieki przemysłowe stanowić będą wyłącznie ścieki z bieżącego utrzymania czystości w zakładzie. Okresowo, w tym w trakcie corocznej przerwy konserwacyjnej, powstaną też ścieki z mycia urządzeń technicznych. Ze względu na zastosowaną technologię w zakładzie nie będą powstawały ścieki przemysłowe z oczyszczania spalin ani wody chłodnicze. Powstające niewielkie ilości ścieków przemysłowych będą ujmowane przez wewnętrzną kanalizację i odprowadzane do kanalizacji miejskiej, administrowanej przez MPWiK Sp. z o.o. w Żywcu. </w:t>
      </w:r>
    </w:p>
    <w:p>
      <w:pPr>
        <w:pStyle w:val="Normal"/>
        <w:rPr/>
      </w:pPr>
      <w:r>
        <w:rPr/>
        <w:t xml:space="preserve">Czyste wody opadowe i roztopowe z dachów będą zbierane w zbiorniku i wykorzystywane w do podlewania zieleni. Nadmiar tych wód będzie kierowany do miejskiej kanalizacji deszczowej. </w:t>
      </w:r>
    </w:p>
    <w:p>
      <w:pPr>
        <w:pStyle w:val="Normal"/>
        <w:rPr/>
      </w:pPr>
      <w:r>
        <w:rPr/>
        <w:t>Zanieczyszczone wody opadowe i roztopowe z terenów utwardzonych tj. drogi wewnętrzne i place manewrowe będą podczyszczane w separatorze substancji ropopochodnych z osadnikiem do poziomu poniżej 100 mg/dm</w:t>
      </w:r>
      <w:r>
        <w:rPr>
          <w:vertAlign w:val="superscript"/>
        </w:rPr>
        <w:t>3</w:t>
      </w:r>
      <w:r>
        <w:rPr/>
        <w:t xml:space="preserve"> zawiesin ogólnych oraz 15 mg/dm</w:t>
      </w:r>
      <w:r>
        <w:rPr>
          <w:vertAlign w:val="superscript"/>
        </w:rPr>
        <w:t>3</w:t>
      </w:r>
      <w:r>
        <w:rPr/>
        <w:t xml:space="preserve"> węglowodorów aromatycznych, a następnie będą kierowane do miejskiej kanalizacji deszczowej. </w:t>
      </w:r>
    </w:p>
    <w:p>
      <w:pPr>
        <w:pStyle w:val="Normal"/>
        <w:rPr/>
      </w:pPr>
      <w:r>
        <w:rPr/>
        <w:t>Ścieki bytowe, w ilości równej ilości pobieranej wody na ten cel, będą kierowane do miejskiej kanalizacji sanitarnej.</w:t>
      </w:r>
    </w:p>
    <w:p>
      <w:pPr>
        <w:pStyle w:val="Normal"/>
        <w:rPr/>
      </w:pPr>
      <w:r>
        <w:rPr/>
        <w:t>W związku z faktem, iż na terenie projektowanej Instalacji nie przewiduje się wprowadzanie ścieków do wód lub do ziemi, nie będzie ona oddziaływać bezpośrednio na wody powierzchniowe ani podziemne.</w:t>
      </w:r>
    </w:p>
    <w:p>
      <w:pPr>
        <w:pStyle w:val="Normal"/>
        <w:rPr/>
      </w:pPr>
      <w:r>
        <w:rPr/>
        <w:t xml:space="preserve">Zakład nie będzie oddziaływał na wody powierzchniowe, natomiast wody podziemne będą chronione poprzez odprowadzanie wszystkich powstających ścieków do sieci kanalizacyjnej. Dodatkowo wody podziemne będą zabezpieczone przed przedostaniem się do nich zanieczyszczeń z terenu utwardzonego poprzez uszczelnienie powierzchni. </w:t>
      </w:r>
    </w:p>
    <w:p>
      <w:pPr>
        <w:pStyle w:val="Normal"/>
        <w:rPr/>
      </w:pPr>
      <w:r>
        <w:rPr/>
        <w:t xml:space="preserve">Powyższe działania zapewnią brak negatywnego oddziaływania planowanej Inwestycji na wody powierzchniowe i podziemne, w tym na potencjał ekologiczny i stan chemiczny jednolitych części wód podziemnych i powierzchniowych. </w:t>
      </w:r>
    </w:p>
    <w:p>
      <w:pPr>
        <w:pStyle w:val="Normal"/>
        <w:rPr/>
      </w:pPr>
      <w:r>
        <w:rPr/>
        <w:t xml:space="preserve">Metodami zastosowanymi na terenie planowanej Inwestycji mającymi ograniczać uciążliwość związaną z gospodarowaniem wodami będą: </w:t>
      </w:r>
    </w:p>
    <w:p>
      <w:pPr>
        <w:pStyle w:val="Normal"/>
        <w:numPr>
          <w:ilvl w:val="0"/>
          <w:numId w:val="34"/>
        </w:numPr>
        <w:ind w:left="714" w:hanging="357"/>
        <w:rPr/>
      </w:pPr>
      <w:r>
        <w:rPr/>
        <w:t xml:space="preserve">oszczędne i racjonalne gospodarowanie wodą, </w:t>
      </w:r>
    </w:p>
    <w:p>
      <w:pPr>
        <w:pStyle w:val="Normal"/>
        <w:numPr>
          <w:ilvl w:val="0"/>
          <w:numId w:val="34"/>
        </w:numPr>
        <w:ind w:left="714" w:hanging="357"/>
        <w:rPr/>
      </w:pPr>
      <w:r>
        <w:rPr/>
        <w:t xml:space="preserve">prawidłowe prowadzenie procesów technologicznych, </w:t>
      </w:r>
    </w:p>
    <w:p>
      <w:pPr>
        <w:pStyle w:val="Normal"/>
        <w:numPr>
          <w:ilvl w:val="0"/>
          <w:numId w:val="34"/>
        </w:numPr>
        <w:ind w:left="714" w:hanging="357"/>
        <w:rPr/>
      </w:pPr>
      <w:r>
        <w:rPr/>
        <w:t>kontrola i utrzymywanie we właściwym stanie technicznych sieci kanalizacji i urządzeń podczyszczających wody deszczowe,</w:t>
      </w:r>
    </w:p>
    <w:p>
      <w:pPr>
        <w:pStyle w:val="Normal"/>
        <w:numPr>
          <w:ilvl w:val="0"/>
          <w:numId w:val="34"/>
        </w:numPr>
        <w:ind w:left="714" w:hanging="357"/>
        <w:rPr/>
      </w:pPr>
      <w:r>
        <w:rPr/>
        <w:t>odprowadzanie powstałych ścieków i wód opadowych systemami kanalizacyjnymi do miejskiej oczyszczalni ścieków.</w:t>
      </w:r>
    </w:p>
    <w:p>
      <w:pPr>
        <w:pStyle w:val="Normal"/>
        <w:rPr/>
      </w:pPr>
      <w:r>
        <w:rPr/>
      </w:r>
    </w:p>
    <w:p>
      <w:pPr>
        <w:pStyle w:val="Nagwek2"/>
        <w:numPr>
          <w:ilvl w:val="1"/>
          <w:numId w:val="2"/>
        </w:numPr>
        <w:ind w:hanging="578"/>
        <w:rPr/>
      </w:pPr>
      <w:bookmarkStart w:id="142" w:name="_Toc518331361"/>
      <w:r>
        <w:rPr/>
        <w:t>Metody ochrony środowiska gruntowo - wodnego</w:t>
      </w:r>
      <w:bookmarkEnd w:id="142"/>
      <w:r>
        <w:rPr/>
        <w:t xml:space="preserve"> </w:t>
      </w:r>
    </w:p>
    <w:p>
      <w:pPr>
        <w:pStyle w:val="Normal"/>
        <w:rPr/>
      </w:pPr>
      <w:r>
        <w:rPr/>
        <w:t xml:space="preserve">Jeżeli w trakcie realizacji przedsięwzięcia wystąpi zagrożenie szkodą w środowisku lub zostanie stwierdzone zanieczyszczenie historyczne, mogące stanowić szkodę w środowisku, Inwestor lub wykonawca robót będzie zobowiązany do usunięcia zanieczyszczonej ziemi i przeprowadzenia działań naprawczych, o których mowa w ustawie z dnia 13 kwietnia 2007 r. o </w:t>
      </w:r>
      <w:r>
        <w:rPr>
          <w:i/>
        </w:rPr>
        <w:t>zapobieganiu szkodom w środowisku i ich naprawie</w:t>
      </w:r>
      <w:r>
        <w:rPr/>
        <w:t xml:space="preserve"> (Dz.U.2014.1789). </w:t>
      </w:r>
    </w:p>
    <w:p>
      <w:pPr>
        <w:pStyle w:val="Normal"/>
        <w:rPr/>
      </w:pPr>
      <w:r>
        <w:rPr/>
        <w:t>Planowane przedsięwzięcie będzie się składało z obiektów posiadających szczelne, przemysłowe, betonowe posadzki, uniemożliwiające negatywne oddziaływanie na środowisko gruntowo – wodne. Zbiorniki z olejem opałowym zostaną umieszczone w tacach wychwytowych o pojemności odpowiadającej maksymalnej ilości oleju, która może się znaleźć w zakładzie w wydzielonym pomieszczeniu. Wszystkie stosowane substancje chemiczne będą magazynowane w oddzielnym magazynie w warunkach zabezpieczających przed ich przedostaniem się do gruntu. Nie przewiduje się magazynowania paliwa ani odpadów poza budynkiem.</w:t>
      </w:r>
    </w:p>
    <w:p>
      <w:pPr>
        <w:pStyle w:val="Normal"/>
        <w:rPr>
          <w:szCs w:val="24"/>
        </w:rPr>
      </w:pPr>
      <w:r>
        <w:rPr>
          <w:szCs w:val="24"/>
        </w:rPr>
        <w:t>Technologia wykonania placów i dróg wewnętrznych przewiduje zastosowanie standardowych rozwiązań. Na obecnym etapie przyjęto następujące rozwiązania (warstwy od powierzchni terenu):</w:t>
      </w:r>
    </w:p>
    <w:p>
      <w:pPr>
        <w:pStyle w:val="Normal"/>
        <w:numPr>
          <w:ilvl w:val="0"/>
          <w:numId w:val="34"/>
        </w:numPr>
        <w:ind w:left="714" w:hanging="357"/>
        <w:rPr/>
      </w:pPr>
      <w:r>
        <w:rPr/>
        <w:t>warstwa ścieralna z mieszanki mineralno-asfaltowej – około 4cm,</w:t>
      </w:r>
    </w:p>
    <w:p>
      <w:pPr>
        <w:pStyle w:val="Normal"/>
        <w:numPr>
          <w:ilvl w:val="0"/>
          <w:numId w:val="34"/>
        </w:numPr>
        <w:ind w:left="714" w:hanging="357"/>
        <w:rPr/>
      </w:pPr>
      <w:r>
        <w:rPr/>
        <w:t>warstwa wiążąca z betonu asfaltowego – około 5cm,</w:t>
      </w:r>
    </w:p>
    <w:p>
      <w:pPr>
        <w:pStyle w:val="Normal"/>
        <w:numPr>
          <w:ilvl w:val="0"/>
          <w:numId w:val="34"/>
        </w:numPr>
        <w:ind w:left="714" w:hanging="357"/>
        <w:rPr/>
      </w:pPr>
      <w:r>
        <w:rPr/>
        <w:t>warstwa podbudowy zasadniczej z betonu asfaltowego – około 7cm,</w:t>
      </w:r>
    </w:p>
    <w:p>
      <w:pPr>
        <w:pStyle w:val="Normal"/>
        <w:numPr>
          <w:ilvl w:val="0"/>
          <w:numId w:val="34"/>
        </w:numPr>
        <w:ind w:left="714" w:hanging="357"/>
        <w:rPr/>
      </w:pPr>
      <w:r>
        <w:rPr/>
        <w:t>warstwa podbudowy zasadniczej z mieszanki niezwiązanej z kruszywem C90/3 – około 20cm.</w:t>
      </w:r>
    </w:p>
    <w:p>
      <w:pPr>
        <w:pStyle w:val="Normal"/>
        <w:rPr>
          <w:szCs w:val="24"/>
        </w:rPr>
      </w:pPr>
      <w:r>
        <w:rPr>
          <w:szCs w:val="24"/>
        </w:rPr>
        <w:t>Należy zaznaczyć, że w zależności od warunków geotechnicznych grubości warstw mogą być różne.</w:t>
      </w:r>
    </w:p>
    <w:p>
      <w:pPr>
        <w:pStyle w:val="Normal"/>
        <w:rPr>
          <w:szCs w:val="24"/>
        </w:rPr>
      </w:pPr>
      <w:r>
        <w:rPr>
          <w:szCs w:val="24"/>
        </w:rPr>
        <w:t xml:space="preserve">Wierzchnia warstwa mieszanki mineralno-asfaltowej zapewni szczelność, która wyeliminuje możliwość zanieczyszczenia środowiska gruntowo-wodnego. </w:t>
      </w:r>
    </w:p>
    <w:p>
      <w:pPr>
        <w:pStyle w:val="Normal"/>
        <w:rPr/>
      </w:pPr>
      <w:r>
        <w:rPr/>
        <w:t xml:space="preserve">Cały teren zakładu będzie skanalizowany, a wszystkie ścieki oraz wody opadowe będą odprowadzane do kanalizacji miejskiej. W przypadku wystąpienia zdarzenia awaryjnego/awarii związanej z koniecznością prowadzenia akcji ratowniczo-gaśniczej, możliwe będzie zatrzymanie wód gaśniczych w budynku oraz systemie kanalizacji wód opadowych na terenie zakładu (zasuwa).  </w:t>
      </w:r>
    </w:p>
    <w:p>
      <w:pPr>
        <w:pStyle w:val="Normal"/>
        <w:rPr/>
      </w:pPr>
      <w:r>
        <w:rPr/>
        <w:t xml:space="preserve">Odpady poprocesowe będą przekazywane do dalszego zagospodarowania wyłącznie podmiotom posiadającym stosowne decyzje administracyjne oraz dysponującym środkami technicznymi zapewniającymi transport odpadów w warunkach całkowicie eliminujących możliwość negatywnego oddziaływania odpadów na środowisko (szczelne, specjalistyczne pojemniki lub autocysterny). </w:t>
      </w:r>
    </w:p>
    <w:p>
      <w:pPr>
        <w:pStyle w:val="Normal"/>
        <w:rPr/>
      </w:pPr>
      <w:r>
        <w:rPr/>
      </w:r>
    </w:p>
    <w:p>
      <w:pPr>
        <w:pStyle w:val="Nagwek2"/>
        <w:numPr>
          <w:ilvl w:val="1"/>
          <w:numId w:val="2"/>
        </w:numPr>
        <w:ind w:hanging="578"/>
        <w:rPr/>
      </w:pPr>
      <w:bookmarkStart w:id="143" w:name="_Toc518331362"/>
      <w:r>
        <w:rPr/>
        <w:t>Metody ochrony związane z gospodarką odpadami</w:t>
      </w:r>
      <w:bookmarkEnd w:id="143"/>
      <w:r>
        <w:rPr/>
        <w:t xml:space="preserve"> </w:t>
      </w:r>
    </w:p>
    <w:p>
      <w:pPr>
        <w:pStyle w:val="Normal"/>
        <w:rPr/>
      </w:pPr>
      <w:r>
        <w:rPr/>
        <w:t xml:space="preserve">Metodami zastosowanymi na terenie zakładu mającymi ograniczać uciążliwość związaną z gospodarowaniem odpadami będą: </w:t>
      </w:r>
    </w:p>
    <w:p>
      <w:pPr>
        <w:pStyle w:val="Normal"/>
        <w:numPr>
          <w:ilvl w:val="0"/>
          <w:numId w:val="34"/>
        </w:numPr>
        <w:ind w:left="714" w:hanging="357"/>
        <w:rPr/>
      </w:pPr>
      <w:r>
        <w:rPr/>
        <w:t xml:space="preserve">Zapobieganie powstawaniu odpadów i/lub minimalizacja ilości powstających odpadów na terenie Zakładu. </w:t>
      </w:r>
    </w:p>
    <w:p>
      <w:pPr>
        <w:pStyle w:val="Normal"/>
        <w:numPr>
          <w:ilvl w:val="0"/>
          <w:numId w:val="34"/>
        </w:numPr>
        <w:ind w:left="714" w:hanging="357"/>
        <w:rPr/>
      </w:pPr>
      <w:r>
        <w:rPr/>
        <w:t>Prawidłowa eksploatacja urządzeń oraz instalacji znajdujących się na terenie Zakładu.</w:t>
      </w:r>
    </w:p>
    <w:p>
      <w:pPr>
        <w:pStyle w:val="Normal"/>
        <w:numPr>
          <w:ilvl w:val="0"/>
          <w:numId w:val="34"/>
        </w:numPr>
        <w:ind w:left="714" w:hanging="357"/>
        <w:rPr/>
      </w:pPr>
      <w:r>
        <w:rPr/>
        <w:t xml:space="preserve">Właściwy sposób magazynowania odpadów na terenie Zakładu. </w:t>
      </w:r>
    </w:p>
    <w:p>
      <w:pPr>
        <w:pStyle w:val="Normal"/>
        <w:numPr>
          <w:ilvl w:val="0"/>
          <w:numId w:val="34"/>
        </w:numPr>
        <w:ind w:left="714" w:hanging="357"/>
        <w:rPr/>
      </w:pPr>
      <w:r>
        <w:rPr/>
        <w:t xml:space="preserve">Przekazywanie odpadów do odzysku lub unieszkodliwiania podmiotom posiadającym stosowne decyzje w zakresie związanym z gospodarką odpadami. </w:t>
      </w:r>
    </w:p>
    <w:p>
      <w:pPr>
        <w:pStyle w:val="Normal"/>
        <w:rPr/>
      </w:pPr>
      <w:r>
        <w:rPr/>
        <w:t xml:space="preserve"> </w:t>
      </w:r>
    </w:p>
    <w:p>
      <w:pPr>
        <w:pStyle w:val="Nagwek2"/>
        <w:numPr>
          <w:ilvl w:val="1"/>
          <w:numId w:val="2"/>
        </w:numPr>
        <w:ind w:hanging="578"/>
        <w:rPr/>
      </w:pPr>
      <w:bookmarkStart w:id="144" w:name="_Toc518331363"/>
      <w:r>
        <w:rPr/>
        <w:t>Metody ochrony przed promieniowaniem elektromagnetycznym</w:t>
      </w:r>
      <w:bookmarkEnd w:id="144"/>
      <w:r>
        <w:rPr/>
        <w:t xml:space="preserve"> </w:t>
      </w:r>
    </w:p>
    <w:p>
      <w:pPr>
        <w:pStyle w:val="Normal"/>
        <w:rPr/>
      </w:pPr>
      <w:r>
        <w:rPr/>
        <w:t>W związku z realizacją przedsięwzięcia nie przewiduje się montażu urządzeń, których eksploatacja wymagałaby zastosowania środków ochrony przed oddziaływaniem pól elektromagnetycznych.</w:t>
      </w:r>
    </w:p>
    <w:p>
      <w:pPr>
        <w:pStyle w:val="Normal"/>
        <w:spacing w:lineRule="auto" w:line="360"/>
        <w:rPr/>
      </w:pPr>
      <w:r>
        <w:rPr/>
      </w:r>
    </w:p>
    <w:p>
      <w:pPr>
        <w:pStyle w:val="Nagwek1"/>
        <w:numPr>
          <w:ilvl w:val="0"/>
          <w:numId w:val="2"/>
        </w:numPr>
        <w:rPr/>
      </w:pPr>
      <w:bookmarkStart w:id="145" w:name="_Toc518331364"/>
      <w:r>
        <w:rPr/>
        <w:t>WPŁYW PRZEDSIĘWZIĘCIA NA ZMIANY KLIMATU ORAZ ADAPTACJI DO ZMIAN KLIMATU</w:t>
      </w:r>
      <w:bookmarkEnd w:id="145"/>
      <w:r>
        <w:rPr/>
        <w:t xml:space="preserve"> </w:t>
      </w:r>
    </w:p>
    <w:p>
      <w:pPr>
        <w:pStyle w:val="Normal"/>
        <w:rPr>
          <w:rFonts w:ascii="Calibri" w:hAnsi="Calibri" w:cs="Calibri"/>
          <w:sz w:val="22"/>
        </w:rPr>
      </w:pPr>
      <w:r>
        <w:rPr/>
        <w:t>Prognozowanie zmian klimatu jest niezwykle trudne i obarczone dużym błędem. Prowadzone w tym zakresie badania opierają się na modelowaniu matematycznym i mogą jedynie z pewnym prawdopodobieństwem wskazać pewne trendy i kierunki zmian. W odniesieniu do klimatu Polski oraz poszczególnych regionów (województw) badania te prowadzone są między innymi w ramach projektu KLIMADA (http://klimada.mos.gov.pl/). Główne wnioski płynące z prowadzonych analiz można podsumować następująco:</w:t>
      </w:r>
    </w:p>
    <w:p>
      <w:pPr>
        <w:pStyle w:val="Normal"/>
        <w:numPr>
          <w:ilvl w:val="0"/>
          <w:numId w:val="34"/>
        </w:numPr>
        <w:ind w:left="714" w:hanging="357"/>
        <w:rPr>
          <w:szCs w:val="24"/>
        </w:rPr>
      </w:pPr>
      <w:r>
        <w:rPr>
          <w:szCs w:val="24"/>
        </w:rPr>
        <w:t xml:space="preserve">Średnia temperatura wykazuje stopniowy wzrost na terenie całego kraju w perspektywie do roku 2100, niemniej </w:t>
      </w:r>
      <w:r>
        <w:rPr/>
        <w:t>do</w:t>
      </w:r>
      <w:r>
        <w:rPr>
          <w:szCs w:val="24"/>
        </w:rPr>
        <w:t xml:space="preserve"> roku 2030, zmiany te mają nieznaczną wielkość rzędu dziesiątych stopnia. Nieco większe ocieplenie jest spodziewane pod koniec stulecia, powyżej 4,5ºC w odniesieniu do temperatur zimowych w Polsce północno-wschodniej. Zmiany temperatury są zróżnicowane regionalnie i sezonowo.</w:t>
      </w:r>
    </w:p>
    <w:p>
      <w:pPr>
        <w:pStyle w:val="Normal"/>
        <w:numPr>
          <w:ilvl w:val="0"/>
          <w:numId w:val="34"/>
        </w:numPr>
        <w:ind w:left="714" w:hanging="357"/>
        <w:rPr>
          <w:szCs w:val="24"/>
        </w:rPr>
      </w:pPr>
      <w:r>
        <w:rPr>
          <w:szCs w:val="24"/>
        </w:rPr>
        <w:t xml:space="preserve">W przypadku opadów nie jest łatwe wskazanie jednoznacznych tendencji. Symulacje wykazują, iż po roku 2070 można się spodziewać niewielkiego zwiększenia opadów w zimie oraz </w:t>
      </w:r>
      <w:r>
        <w:rPr/>
        <w:t>zmniejszenia</w:t>
      </w:r>
      <w:r>
        <w:rPr>
          <w:szCs w:val="24"/>
        </w:rPr>
        <w:t xml:space="preserve"> opadów w lecie. W okresie do roku 2030, zmiany sum opadów będą nieznaczne, niemniej jednak istotna może okazać się zmiana ich rozkładu w czasie.</w:t>
      </w:r>
    </w:p>
    <w:p>
      <w:pPr>
        <w:pStyle w:val="Normal"/>
        <w:rPr/>
      </w:pPr>
      <w:r>
        <w:rPr/>
        <w:t>W rozpatrywanych modelach i symulacjach daje się wychwycić tendencję do nasilania się i zwiększania częstotliwości występowania zjawisk ekstremalnych, w tym:</w:t>
      </w:r>
    </w:p>
    <w:p>
      <w:pPr>
        <w:pStyle w:val="Normal"/>
        <w:numPr>
          <w:ilvl w:val="0"/>
          <w:numId w:val="52"/>
        </w:numPr>
        <w:jc w:val="left"/>
        <w:rPr>
          <w:szCs w:val="24"/>
        </w:rPr>
      </w:pPr>
      <w:r>
        <w:rPr>
          <w:szCs w:val="24"/>
        </w:rPr>
        <w:t xml:space="preserve">zwiększająca się ilość dni upalnych (z temp. pow. 30°C), </w:t>
      </w:r>
    </w:p>
    <w:p>
      <w:pPr>
        <w:pStyle w:val="Normal"/>
        <w:numPr>
          <w:ilvl w:val="0"/>
          <w:numId w:val="52"/>
        </w:numPr>
        <w:jc w:val="left"/>
        <w:rPr>
          <w:szCs w:val="24"/>
        </w:rPr>
      </w:pPr>
      <w:r>
        <w:rPr>
          <w:szCs w:val="24"/>
        </w:rPr>
        <w:t xml:space="preserve">wzrost liczby dni ze średnią minimalną temperaturą dobową, </w:t>
      </w:r>
    </w:p>
    <w:p>
      <w:pPr>
        <w:pStyle w:val="Normal"/>
        <w:numPr>
          <w:ilvl w:val="0"/>
          <w:numId w:val="52"/>
        </w:numPr>
        <w:jc w:val="left"/>
        <w:rPr>
          <w:szCs w:val="24"/>
        </w:rPr>
      </w:pPr>
      <w:r>
        <w:rPr>
          <w:szCs w:val="24"/>
        </w:rPr>
        <w:t>zwiększająca się liczba dni bezopadowych (opad poniżej 1 mm/dobę) i wiążące się z nimi susze atmosferyczne,</w:t>
      </w:r>
    </w:p>
    <w:p>
      <w:pPr>
        <w:pStyle w:val="Normal"/>
        <w:numPr>
          <w:ilvl w:val="0"/>
          <w:numId w:val="52"/>
        </w:numPr>
        <w:jc w:val="left"/>
        <w:rPr>
          <w:szCs w:val="24"/>
        </w:rPr>
      </w:pPr>
      <w:r>
        <w:rPr>
          <w:szCs w:val="24"/>
        </w:rPr>
        <w:t>susze hydrologiczne związane z zakłóceniami lokalnych bilansów wodnych,</w:t>
      </w:r>
    </w:p>
    <w:p>
      <w:pPr>
        <w:pStyle w:val="Normal"/>
        <w:numPr>
          <w:ilvl w:val="0"/>
          <w:numId w:val="52"/>
        </w:numPr>
        <w:jc w:val="left"/>
        <w:rPr>
          <w:szCs w:val="24"/>
        </w:rPr>
      </w:pPr>
      <w:r>
        <w:rPr>
          <w:szCs w:val="24"/>
        </w:rPr>
        <w:t>zwiększająca się liczba dni z opadami ulewnymi (powyżej 20 mm/dobę),</w:t>
      </w:r>
    </w:p>
    <w:p>
      <w:pPr>
        <w:pStyle w:val="Normal"/>
        <w:numPr>
          <w:ilvl w:val="0"/>
          <w:numId w:val="52"/>
        </w:numPr>
        <w:jc w:val="left"/>
        <w:rPr>
          <w:szCs w:val="24"/>
        </w:rPr>
      </w:pPr>
      <w:r>
        <w:rPr>
          <w:szCs w:val="24"/>
        </w:rPr>
        <w:t>wzrost liczby dni z wiatrami porywistymi i silnymi (burze, nawałnice, szkwały),</w:t>
      </w:r>
    </w:p>
    <w:p>
      <w:pPr>
        <w:pStyle w:val="Normal"/>
        <w:numPr>
          <w:ilvl w:val="0"/>
          <w:numId w:val="52"/>
        </w:numPr>
        <w:jc w:val="left"/>
        <w:rPr>
          <w:szCs w:val="24"/>
        </w:rPr>
      </w:pPr>
      <w:r>
        <w:rPr>
          <w:szCs w:val="24"/>
        </w:rPr>
        <w:t>wzrost częstotliwości występowania trąb powietrznych, szczególnie w pasie z południowego zachodu na północny wschód,</w:t>
      </w:r>
    </w:p>
    <w:p>
      <w:pPr>
        <w:pStyle w:val="Normal"/>
        <w:numPr>
          <w:ilvl w:val="0"/>
          <w:numId w:val="52"/>
        </w:numPr>
        <w:jc w:val="left"/>
        <w:rPr>
          <w:szCs w:val="24"/>
        </w:rPr>
      </w:pPr>
      <w:r>
        <w:rPr>
          <w:szCs w:val="24"/>
        </w:rPr>
        <w:t>zjawiska takie jak powodzie, podtopienia i osunięcia ziemi (powodowane nawalnym deszczem), silne wiatry (huragan, trąba powietrzna), wyładowania atmosferyczne, susze, przymrozki wiosenne, grad, okiść, intensywne opady śniegu.</w:t>
      </w:r>
    </w:p>
    <w:p>
      <w:pPr>
        <w:pStyle w:val="Normal"/>
        <w:rPr>
          <w:rFonts w:cs="Tahoma"/>
          <w:szCs w:val="22"/>
        </w:rPr>
      </w:pPr>
      <w:r>
        <w:rPr>
          <w:rFonts w:cs="Tahoma"/>
          <w:szCs w:val="22"/>
        </w:rPr>
        <w:t>Planowane przedsięwzięcie będzie zaprojektowane i zrealizowane zgodnie z wymogami prawa budowlanego, z uwzględnieniem wymagań i norm branżowych związanych z działaniem sił natury, w szczególności: wyładowań atmosferycznych (instalacja odgromowa), silnych wiatrów (odpowiednia konstrukcja), intensywnych opadów atmosferycznych (kanalizacja deszczowa), pożarów (zabezpieczenie ppoż.).</w:t>
      </w:r>
    </w:p>
    <w:p>
      <w:pPr>
        <w:pStyle w:val="Normal"/>
        <w:rPr>
          <w:szCs w:val="24"/>
        </w:rPr>
      </w:pPr>
      <w:r>
        <w:rPr>
          <w:szCs w:val="24"/>
        </w:rPr>
        <w:t xml:space="preserve">Rozpatrując wpływ zmian klimatu na planowane przedsięwzięcie oraz odporność przedsięwzięcia i jego zdolność poradzenia sobie ze skutkami zmian klimatu, należy uwzględniać lokalne uwarunkowania topoklimatyczne i krajobrazowe. W omawianym przypadku mamy do czynienia z </w:t>
      </w:r>
      <w:r>
        <w:rPr/>
        <w:t>krajobrazem równin zalewowych w obrębie dolin i obniżeń. Krajobrazy tego typu</w:t>
      </w:r>
      <w:r>
        <w:rPr>
          <w:szCs w:val="24"/>
        </w:rPr>
        <w:t xml:space="preserve"> charakteryzującą się bardzo dużym zróżnicowaniem użytkowania terenu wynikającym ze zróżnicowania rzeźby, utworów powierzchniowych i lokalnych warunków wodnych. </w:t>
      </w:r>
    </w:p>
    <w:p>
      <w:pPr>
        <w:pStyle w:val="Normal"/>
        <w:rPr/>
      </w:pPr>
      <w:r>
        <w:rPr/>
        <w:t xml:space="preserve">Analiza zmian klimatu przeprowadzona w ramach projektu KLIMADA wskazuje, że na omawianym terenie będziemy mieli do czynienia ze względnym, stosunkowo niewielkim zwiększeniem wysokości opadu w sezonie zima-wiosna oraz zmniejszeniem w sezonie lato-jesień. Uwarunkowania krajobrazowe mają bezpośrednie odniesienie do odporności zlewni na zwiększenia się częstotliwości występowania opadów intensywnych i ulewnych. Dla analizowanego regionu prognozuje się wzrost liczebności dni z opadem ulewnym (&gt;20mm/dobę) oraz wzrost częstotliwości opadów intensywnych (&gt;10mm/dobę). Duże zróżnicowanie rzeźby terenu, znaczne spadki terenu, a także rozłogowy charakter rzeźby w górnych partiach zlewni, są głównymi czynnikami decydującymi o zwiększeniu odpływu powierzchniowego i występowaniu dużej dynamiki wezbrań. Zwiększenie częstotliwości opadów intensywnych będzie miało w tym przypadku istotny wpływ na zwiększenie odpływu ze zlewni, co za tym idzie na występowanie przepływów przewyższających przepływy ekstremalne w ciekach, w tym także w Sole. </w:t>
      </w:r>
    </w:p>
    <w:p>
      <w:pPr>
        <w:pStyle w:val="Normal"/>
        <w:rPr/>
      </w:pPr>
      <w:r>
        <w:rPr/>
        <w:t xml:space="preserve">Przedsięwzięcie nie będzie miało w tym zakresie dodatkowego wpływu na zwiększenie odpływu, ponieważ planowany teren utwardzony i zabudowany, powodujący dodatkowy bezpośredni odpływ powierzchniowy bez retencji opadu w gruncie nie będzie znacząco przewyższał dotychczasowej powierzchni utwardzonej.  Inwestor zamierza ponadto gromadzić deszczówkę z dachów w zbiorniku bezodpływowym i wykorzystywać ją do podlewania terenu w sezonie wegetacyjnym. </w:t>
      </w:r>
    </w:p>
    <w:p>
      <w:pPr>
        <w:pStyle w:val="Normal"/>
        <w:rPr/>
      </w:pPr>
      <w:r>
        <w:rPr/>
        <w:t>Mając na uwadze długoterminowe trendy zmian w środowisku, które na omawianym terenie będą się wiązały przede wszystkim ze zmianami klimatu, a więc głównie ze stopniowym wzrostem średniej rocznej temperatury powietrza, znacznym wzrostem średniej temperatury w okresie zimowym, a co za tym idzie spadkiem liczby dni z pokrywą śnieżną, zwiększeniem się nierównomierności rocznego rozkładu wysokości miesięcznych opadów, należy uznać, że na omawianym terenie będą one dotyczyły przede wszystkim zmian obserwowanych w sposobie użytkowania terenu. Analizowany teren dzielnicy Zabłocie jest silnie przekształcony przez człowieka – dominuje zabudowa przemysłowa oraz występują budynki mieszkalne jedno i wielorodzinne. Czynnikiem istotnie wpływającym na możliwości użytkowania terenu jest odległość od obszarów zagrożonych powodzią w dolinie Soły. Zwiększenie okresowych przepływów towarzyszące opadom ponadnormatywnym może powodować lokalne ograniczenia w wykorzystaniu terenu. W przypadku przedmiotowego przedsięwzięcia zagrożenie jest właściwie pomijalne, ponieważ odległość od Soły jest znaczna. Brak jest także warunków do wystąpienia lokalnych okresowych podtopień spowodowanych podniesieniem się poziomu wód gruntowych lub wystąpieniem opadów nawalnych.</w:t>
      </w:r>
    </w:p>
    <w:p>
      <w:pPr>
        <w:pStyle w:val="Normal"/>
        <w:rPr/>
      </w:pPr>
      <w:r>
        <w:rPr/>
        <w:t>Kierunek zmian w środowisku spowoduje wydłużenie się okresu wegetacyjnego, co w połączeniu ze zmianami w rozkładzie opadów może wymusić konieczność częściowej przebudowy biocenoz, a także zwiększenie powierzchni użytków zielonych i lasów. Zmiany te będą miały pomijalny wpływ na funkcjonowanie przedsięwzięcia. Nie ma też podstaw do twierdzenia, że obecność instalacji lub jego brak mogą mieć jakikolwiek znaczący wpływ na zmianę, osłabienie lub wzmocnienie tych trendów, ponieważ ich charakter i nasilenie determinują zmiany warunków klimatycznych odbywające się na poziomie ponadregionalnym.</w:t>
      </w:r>
    </w:p>
    <w:p>
      <w:pPr>
        <w:pStyle w:val="Normal"/>
        <w:rPr/>
      </w:pPr>
      <w:r>
        <w:rPr/>
        <w:t>W związku z koniecznością adaptacji do zmian klimatu, w ramach programu KLIMADA sformułowano rekomendowane kierunki działań adaptacyjnych dla województwa śląskiego:</w:t>
      </w:r>
    </w:p>
    <w:p>
      <w:pPr>
        <w:pStyle w:val="Normal"/>
        <w:numPr>
          <w:ilvl w:val="0"/>
          <w:numId w:val="52"/>
        </w:numPr>
        <w:rPr>
          <w:szCs w:val="24"/>
        </w:rPr>
      </w:pPr>
      <w:r>
        <w:rPr>
          <w:szCs w:val="24"/>
        </w:rPr>
        <w:t>ochrona obszarów źródłowych głównych rzek i zwiększenia retencji wody zarówno w dolinach jak i w górach,</w:t>
      </w:r>
    </w:p>
    <w:p>
      <w:pPr>
        <w:pStyle w:val="Normal"/>
        <w:numPr>
          <w:ilvl w:val="0"/>
          <w:numId w:val="52"/>
        </w:numPr>
        <w:rPr>
          <w:szCs w:val="24"/>
        </w:rPr>
      </w:pPr>
      <w:r>
        <w:rPr>
          <w:szCs w:val="24"/>
        </w:rPr>
        <w:t>zaopatrzenie miast, przemysłu  i rolnictwa w wodę w warunkach ekstremalnych (powodzie i susze, długotrwałe okresy z wysoką temperaturą),</w:t>
      </w:r>
    </w:p>
    <w:p>
      <w:pPr>
        <w:pStyle w:val="Normal"/>
        <w:numPr>
          <w:ilvl w:val="0"/>
          <w:numId w:val="52"/>
        </w:numPr>
        <w:rPr>
          <w:szCs w:val="24"/>
        </w:rPr>
      </w:pPr>
      <w:r>
        <w:rPr>
          <w:szCs w:val="24"/>
        </w:rPr>
        <w:t>zabezpieczenie infrastruktury miejskiej i przemysłowej  przed nagłymi zalaniami i podtopieniami w tym rozwój kanalizacji opadowej,</w:t>
      </w:r>
    </w:p>
    <w:p>
      <w:pPr>
        <w:pStyle w:val="Normal"/>
        <w:numPr>
          <w:ilvl w:val="0"/>
          <w:numId w:val="52"/>
        </w:numPr>
        <w:rPr>
          <w:szCs w:val="24"/>
        </w:rPr>
      </w:pPr>
      <w:r>
        <w:rPr>
          <w:szCs w:val="24"/>
        </w:rPr>
        <w:t>zabezpieczenie obszarów podgórskich i górskich  przed osuwiskami i lawinami,</w:t>
      </w:r>
    </w:p>
    <w:p>
      <w:pPr>
        <w:pStyle w:val="Normal"/>
        <w:numPr>
          <w:ilvl w:val="0"/>
          <w:numId w:val="52"/>
        </w:numPr>
        <w:rPr>
          <w:szCs w:val="24"/>
        </w:rPr>
      </w:pPr>
      <w:r>
        <w:rPr>
          <w:szCs w:val="24"/>
        </w:rPr>
        <w:t>ochrona istniejących i  tworzenie nowych powierzchni zielonych i wodnych w procesach rewitalizacji obszarów miejskich i poprzemysłowych w celu ograniczenia  wzrostu temperatury i poprawy warunków sanitarnych powietrza,</w:t>
      </w:r>
    </w:p>
    <w:p>
      <w:pPr>
        <w:pStyle w:val="Normal"/>
        <w:numPr>
          <w:ilvl w:val="0"/>
          <w:numId w:val="52"/>
        </w:numPr>
        <w:rPr>
          <w:szCs w:val="24"/>
        </w:rPr>
      </w:pPr>
      <w:r>
        <w:rPr>
          <w:szCs w:val="24"/>
        </w:rPr>
        <w:t>przygotowanie nowej oferty turystycznej dla mieszkańców miejscowości turystycznych i turystów w sytuacji zmniejszonej pokrywy śnieżnej i ograniczonego dostępu do wody.</w:t>
      </w:r>
    </w:p>
    <w:p>
      <w:pPr>
        <w:pStyle w:val="Normal"/>
        <w:rPr/>
      </w:pPr>
      <w:r>
        <w:rPr/>
        <w:t>Planowane przedsięwzięcie nie będzie miało bezpośredniego związku z realizacją ewentualnych przyszłych działań adaptacyjnych. Warto jednak zauważyć, że instalacja może mieć pozytywny wpływ na poprawę jakości warunków sanitarnych powietrza na terenie Żywca, co jest jedną z rekomendacji dla podejmowania działań w tym obszarze.</w:t>
      </w:r>
    </w:p>
    <w:p>
      <w:pPr>
        <w:pStyle w:val="Normal"/>
        <w:spacing w:lineRule="auto" w:line="360"/>
        <w:rPr/>
      </w:pPr>
      <w:r>
        <w:rPr/>
      </w:r>
    </w:p>
    <w:p>
      <w:pPr>
        <w:pStyle w:val="Nagwek1"/>
        <w:numPr>
          <w:ilvl w:val="0"/>
          <w:numId w:val="2"/>
        </w:numPr>
        <w:rPr/>
      </w:pPr>
      <w:bookmarkStart w:id="146" w:name="_Toc518331365"/>
      <w:r>
        <w:rPr/>
        <w:t>PORÓWNANIE PROPONOWANEJ TECHNOLOGII Z TECHNOLOGIĄ SPEŁNIAJĄCĄ WYMAGANIA, O KTÓRYCH MOWA W ART. 143 USTAWY Z DNIA 27 KWIETNIA 2001 R. - PRAWO OCHRONY ŚRODOWISKA</w:t>
      </w:r>
      <w:bookmarkEnd w:id="146"/>
      <w:r>
        <w:rPr/>
        <w:t xml:space="preserve"> </w:t>
      </w:r>
    </w:p>
    <w:p>
      <w:pPr>
        <w:pStyle w:val="Normal"/>
        <w:rPr/>
      </w:pPr>
      <w:r>
        <w:rPr/>
        <w:t xml:space="preserve">Stosowne wytyczne i zalecenia najlepszej dostępnej techniki (BAT) w odniesieniu do instalacji termicznego przekształcania odpadów, sformułowane zostały w dokumencie p.t.: „Zintegrowane Zapobieganie Zanieczyszczeniom i ich Kontrola. Dokument Referencyjny dotyczący Najlepszych Dostępnych Technik dla spalania odpadów, Sierpień 2006” (BREF). Dokument ten stanowi uszczegółowienie wymagań ogólnych dotyczących instalacji, określonych w art. 143 ustawy </w:t>
      </w:r>
      <w:r>
        <w:rPr>
          <w:i/>
        </w:rPr>
        <w:t>Prawo ochrony środowiska</w:t>
      </w:r>
      <w:r>
        <w:rPr/>
        <w:t xml:space="preserve">, w odniesieniu do instalacji i procesu spalania odpadów. </w:t>
      </w:r>
    </w:p>
    <w:p>
      <w:pPr>
        <w:pStyle w:val="Normal"/>
        <w:rPr/>
      </w:pPr>
      <w:r>
        <w:rPr/>
        <w:t>Wskazana przez Inwestora referencyjna instalacja do termicznego przekształcania odpadów uzyskała w tym zakresie pozytywną opinię Wydziału Inżynierii Środowiska Politechniki Warszawskiej dotyczącą zgodności z najlepszą dostępną techniką. Została ona przedstawiona w załączniku nr 2</w:t>
      </w:r>
      <w:r>
        <w:rPr>
          <w:color w:val="000000" w:themeColor="text1"/>
        </w:rPr>
        <w:t>.</w:t>
      </w:r>
      <w:r>
        <w:rPr/>
        <w:t xml:space="preserve"> W niniejszym punkcie odniesiono się jedynie do wymagań określonych ściśle w artykule 143 </w:t>
      </w:r>
      <w:r>
        <w:rPr>
          <w:i/>
        </w:rPr>
        <w:t>ustawy Prawo ochrony środowiska</w:t>
      </w:r>
      <w:r>
        <w:rPr/>
        <w:t>.</w:t>
      </w:r>
    </w:p>
    <w:p>
      <w:pPr>
        <w:pStyle w:val="Tekst"/>
        <w:rPr/>
      </w:pPr>
      <w:r>
        <w:rPr/>
      </w:r>
    </w:p>
    <w:p>
      <w:pPr>
        <w:pStyle w:val="Tekst"/>
        <w:rPr/>
      </w:pPr>
      <w:r>
        <w:rPr/>
      </w:r>
    </w:p>
    <w:p>
      <w:pPr>
        <w:pStyle w:val="Stopka"/>
        <w:spacing w:before="0" w:after="60"/>
        <w:ind w:hanging="0"/>
        <w:rPr>
          <w:b/>
          <w:b/>
          <w:u w:val="single"/>
        </w:rPr>
      </w:pPr>
      <w:r>
        <w:rPr>
          <w:b/>
          <w:u w:val="single"/>
        </w:rPr>
        <w:t>Stosowanie substancji o małym potencjale zagrożeń</w:t>
      </w:r>
    </w:p>
    <w:p>
      <w:pPr>
        <w:pStyle w:val="Normal"/>
        <w:rPr/>
      </w:pPr>
      <w:r>
        <w:rPr/>
        <w:t xml:space="preserve">Stosowane w instalacji pomocnicze materiały i surowce, klasyfikowane jako niebezpieczne, będą stosowane w ilościach minimalnych, niezbędnych do prawidłowego przebiegu procesu. Zarządzający instalacją będzie identyfikował możliwe sytuacje awaryjne i określi metody i środki przeciwdziałania skutkom awarii. Instalacja będzie wyposażona w systemy automatyczne, przeciwdziałające zakłóceniom, powodujące zatrzymanie funkcjonowania instalacji w przypadku awarii lub przekroczeń dopuszczalnych poziomów emisji i tym samym ograniczające skutki awarii. </w:t>
      </w:r>
    </w:p>
    <w:p>
      <w:pPr>
        <w:pStyle w:val="Normal"/>
        <w:rPr/>
      </w:pPr>
      <w:r>
        <w:rPr/>
        <w:t>Materiał wsadowy (paliwo alternatywne) stosowany w linii będzie uprzednio przygotowany technologicznie przez dostawcę odpadów poprzez odsortowanie elementów metalowych, szkła, piasku, gruzu i w zależności od technologii i systemu podawania do pieca powinien być rozdrobniony. Dostarczany do instalacji będzie odpowiednimi środkami transportu. Również odpady poprocesowe będą zabierane z terenu inwestycji odpowiednimi środkami transportu. Wjazd i wyjazd samochodów będzie kontrolowany i monitorowany.</w:t>
      </w:r>
    </w:p>
    <w:p>
      <w:pPr>
        <w:pStyle w:val="Normal"/>
        <w:rPr/>
      </w:pPr>
      <w:r>
        <w:rPr/>
        <w:t>Odpowiednie sposoby magazynowania oleju opałowego i surowców chemicznych oraz pozostałe środki ochrony czynnej i biernej w sposób odpowiedni zabezpieczają przed ewentualnymi negatywnymi skutkami  zdarzeń awaryjnych/awarii.</w:t>
      </w:r>
    </w:p>
    <w:p>
      <w:pPr>
        <w:pStyle w:val="Tekst"/>
        <w:rPr/>
      </w:pPr>
      <w:r>
        <w:rPr/>
      </w:r>
    </w:p>
    <w:p>
      <w:pPr>
        <w:pStyle w:val="Stopka"/>
        <w:spacing w:before="0" w:after="60"/>
        <w:ind w:hanging="0"/>
        <w:rPr>
          <w:b/>
          <w:b/>
          <w:u w:val="single"/>
        </w:rPr>
      </w:pPr>
      <w:r>
        <w:rPr>
          <w:b/>
          <w:u w:val="single"/>
        </w:rPr>
        <w:t>Efektywne wytwarzanie oraz wykorzystanie energii</w:t>
      </w:r>
    </w:p>
    <w:p>
      <w:pPr>
        <w:pStyle w:val="Normal"/>
        <w:rPr/>
      </w:pPr>
      <w:r>
        <w:rPr/>
        <w:t>Planowana instalacja jest instalacją o funkcji energetycznej. Podstawowym założeniem jest możliwość efektywnego wykorzystania produkowanej energii cieplnej przez odbiorców przemysłowych i mieszkańców. Wszystkie zastosowane systemy zapewnią efektywne wytwarzanie oraz wykorzystanie energii chemicznej zawartej w odpadach. Ponadto zastosowane maszyny, instalacje i obiekty budowlane będą zaprojektowane zgodnie z obowiązującymi rozwiązaniami prawnymi dotyczącymi efektywności energetycznej.</w:t>
      </w:r>
    </w:p>
    <w:p>
      <w:pPr>
        <w:pStyle w:val="Normal"/>
        <w:rPr/>
      </w:pPr>
      <w:r>
        <w:rPr/>
        <w:t xml:space="preserve">Zapotrzebowanie energetyczne instalacji wiąże się wyłącznie z potrzebą zapewnienia prawidłowej pracy urządzeń technicznych. Całkowite zapotrzebowanie instalacji na energię elektryczną wynosi 167 kWh. Zapotrzebowanie energetyczne na olej opałowy w okresie rozruchu wynosi </w:t>
      </w:r>
      <w:r>
        <w:rPr>
          <w:szCs w:val="24"/>
        </w:rPr>
        <w:t xml:space="preserve">550-950 </w:t>
      </w:r>
      <w:r>
        <w:rPr/>
        <w:t>kWh. Po pierwszorazowym rozruchu planuje się wyłącznie jeden rozruch w roku w związku z przerwą konserwacyjną.</w:t>
      </w:r>
    </w:p>
    <w:p>
      <w:pPr>
        <w:pStyle w:val="Normal"/>
        <w:rPr/>
      </w:pPr>
      <w:r>
        <w:rPr/>
        <w:t>Całkowita moc instalacji wynosi 6,250 MW, co przy wysokiej sprawności pieca i kotła da produkcję energii na poziomie 5 MW. Zastosowane rozwiązanie jest najbardziej sprawnym energetycznie rozwiązaniem spośród tego rodzaju instalacji.</w:t>
      </w:r>
    </w:p>
    <w:p>
      <w:pPr>
        <w:pStyle w:val="Tekst"/>
        <w:rPr/>
      </w:pPr>
      <w:r>
        <w:rPr/>
      </w:r>
    </w:p>
    <w:p>
      <w:pPr>
        <w:pStyle w:val="Stopka"/>
        <w:spacing w:before="0" w:after="60"/>
        <w:ind w:hanging="0"/>
        <w:rPr>
          <w:b/>
          <w:b/>
          <w:u w:val="single"/>
        </w:rPr>
      </w:pPr>
      <w:r>
        <w:rPr>
          <w:b/>
          <w:u w:val="single"/>
        </w:rPr>
        <w:t>Zapewnienie racjonalnego zużycia wody i innych surowców oraz materiałów i paliw</w:t>
      </w:r>
    </w:p>
    <w:p>
      <w:pPr>
        <w:pStyle w:val="Normal"/>
        <w:rPr/>
      </w:pPr>
      <w:r>
        <w:rPr/>
        <w:t xml:space="preserve">Praca instalacji oraz urządzeń pomocniczych wchodzących skład instalacji będzie zoptymalizowana w celu jak najniższego zużycia wszystkich surowców, w tym wody, materiałów i paliw. Instalacja będzie zużywała media jedynie w ilości niezbędnej do prowadzenia procesu technologicznego w optymalny sposób. Całość procesów będzie sterowana automatycznie przy założeniu minimalizacji ewentualnych strat i na bieżąco monitorowana. </w:t>
      </w:r>
    </w:p>
    <w:p>
      <w:pPr>
        <w:pStyle w:val="Normal"/>
        <w:rPr/>
      </w:pPr>
      <w:r>
        <w:rPr/>
        <w:t xml:space="preserve">Zużycie oleju opałowego ma na celu wyłącznie spełnianie wymagań ustawowych prawidłowego prowadzenia procesu termicznego przekształcania odpadów. Palniki pracować będą w trybie automatycznym zapewniając utrzymanie wymaganej temperatury w komorze paleniskowej. W trakcie normalnej pracy instalacji nie przewiduje się wykorzystywania oleju opałowego. </w:t>
      </w:r>
    </w:p>
    <w:p>
      <w:pPr>
        <w:pStyle w:val="Tekst"/>
        <w:rPr/>
      </w:pPr>
      <w:r>
        <w:rPr/>
      </w:r>
    </w:p>
    <w:p>
      <w:pPr>
        <w:pStyle w:val="Tekst"/>
        <w:rPr/>
      </w:pPr>
      <w:r>
        <w:rPr/>
      </w:r>
    </w:p>
    <w:p>
      <w:pPr>
        <w:pStyle w:val="Tekst"/>
        <w:rPr/>
      </w:pPr>
      <w:r>
        <w:rPr/>
      </w:r>
    </w:p>
    <w:p>
      <w:pPr>
        <w:pStyle w:val="Stopka"/>
        <w:spacing w:before="0" w:after="60"/>
        <w:ind w:hanging="0"/>
        <w:rPr>
          <w:b/>
          <w:b/>
          <w:u w:val="single"/>
        </w:rPr>
      </w:pPr>
      <w:r>
        <w:rPr>
          <w:b/>
          <w:u w:val="single"/>
        </w:rPr>
        <w:t>Stosowanie technologii bezodpadowych i małoodpadowych oraz możliwość odzysku powstających odpadów</w:t>
      </w:r>
    </w:p>
    <w:p>
      <w:pPr>
        <w:pStyle w:val="Normal"/>
        <w:rPr/>
      </w:pPr>
      <w:r>
        <w:rPr/>
        <w:t xml:space="preserve">W wyniku procesu termicznego przekształcania odpadów przy użyciu planowanej instalacji powstają w zasadzie wyłącznie odpady w postaci odpadów paleniskowych oraz odpady z oczyszczania gazów odlotowych. </w:t>
      </w:r>
    </w:p>
    <w:p>
      <w:pPr>
        <w:pStyle w:val="Normal"/>
        <w:rPr/>
      </w:pPr>
      <w:r>
        <w:rPr/>
        <w:t xml:space="preserve">Produktem ubocznym procesu zgazowywania paliwa jest odpad w postaci popiołu  i żużla, który jest automatycznie wygarniany oraz usuwany spod rusztu pierwszej komory pieca rusztowego przez podajnik ślimakowy wygarniacza popiołu. Ilość wytwarzanego popiołu określono na około 10 % suchej masy wejściowej spalanego paliwa. Popiół powstający w procesie spalania paliwa za pomocą zamkniętych podajników będzie transportowany do zamkniętych kontenerów, w których będzie wywożony transportem samochodowym. Z uwagi na bardzo niewielką ilość odpadów poprocesowych oraz ich homogeniczność nie przewiduje się procesu mieszania i uśredniania. </w:t>
      </w:r>
    </w:p>
    <w:p>
      <w:pPr>
        <w:pStyle w:val="Normal"/>
        <w:rPr/>
      </w:pPr>
      <w:r>
        <w:rPr/>
        <w:t xml:space="preserve">Pyły z oczyszczania spalin są odpadem niebezpiecznym, składającym się w 95% z materiałów sorpcyjnych oraz w 5% z zanieczyszczeń pyłowych. Ilość powstających odpadów jest uwarunkowana koniecznością zapewnienia sprawnego prowadzenia oczyszczania gazów odlotowych.  </w:t>
      </w:r>
    </w:p>
    <w:p>
      <w:pPr>
        <w:pStyle w:val="Normal"/>
        <w:rPr/>
      </w:pPr>
      <w:r>
        <w:rPr/>
        <w:t xml:space="preserve">W omawianym przypadku ilość powstających odpadów poprocesowych jest minimalną ilością, której powstanie jest efektem prawidłowego prowadzenia procesu termicznego przekształcania odpadów. </w:t>
      </w:r>
    </w:p>
    <w:p>
      <w:pPr>
        <w:pStyle w:val="Normal"/>
        <w:rPr/>
      </w:pPr>
      <w:r>
        <w:rPr/>
        <w:t>Zarówno opady paleniskowe jak i pyły z oczyszczania gazów są odpadami, które mogą być poddawane odzyskowi. Dopuszcza się wykorzystanie pozostałości po termicznym przekształceniu odpadów do sporządzania mieszanek betonowych na potrzeby budownictwa, z wyłączeniem budynków przeznaczonych do stałego przebywania ludzi lub zwierząt oraz do produkcji lub magazynowania żywności. Stężenie metali ciężkich w wyciągach wodnych z badania wymywalności tych metali z próbek mieszanek betonowych nie może przekroczyć 10 mg/dm</w:t>
      </w:r>
      <w:r>
        <w:rPr>
          <w:vertAlign w:val="superscript"/>
        </w:rPr>
        <w:t>3</w:t>
      </w:r>
      <w:r>
        <w:rPr/>
        <w:t> łącznie w przeliczeniu na masę pierwiastków. Jak zatem widać możliwość odzysku tego rodzaju odpadów jest w dużej mierze uwarunkowana przez producenta materiałów budowlanych i zastosowanej przez niego technologii. W przypadku żużla, który jest odpadem inertnym, istnieje możliwość wykorzystania tej frakcji odpadu do odzysku poza instalacjami np. do rekultywacji terenów zdegradowanych, utwardzania terenu itp.</w:t>
      </w:r>
    </w:p>
    <w:p>
      <w:pPr>
        <w:pStyle w:val="Tekst"/>
        <w:rPr/>
      </w:pPr>
      <w:r>
        <w:rPr/>
      </w:r>
    </w:p>
    <w:p>
      <w:pPr>
        <w:pStyle w:val="Stopka"/>
        <w:spacing w:before="0" w:after="60"/>
        <w:ind w:hanging="0"/>
        <w:rPr>
          <w:b/>
          <w:b/>
          <w:u w:val="single"/>
        </w:rPr>
      </w:pPr>
      <w:r>
        <w:rPr>
          <w:b/>
          <w:u w:val="single"/>
        </w:rPr>
        <w:t>Rodzaj, zasięg oraz wielkość emisji</w:t>
      </w:r>
    </w:p>
    <w:p>
      <w:pPr>
        <w:pStyle w:val="Normal"/>
        <w:rPr/>
      </w:pPr>
      <w:r>
        <w:rPr/>
        <w:t xml:space="preserve">Rozpatrując rodzaj, zasięg oraz wielkość emisji należy stwierdzić, że nowo uruchamiana instalacja będzie źródłem emisji gazów i pyłów do powietrza, źródłem emisji hałasu oraz źródłem emisji odpadów, natomiast emisja związana z powstawaniem ścieków jest w tym wypadku pomijalna. Wielkość i zasięg emisji zostały omówione w poszczególnych rozdziałach niniejszego opracowania. Należy stwierdzić, że dotrzymywanie standardów w zakresie wielkości emisji oraz jej minimalizowanie decyduje o uznaniu niniejszej instalacji za spełniającą wymaganie w tym zakresie. </w:t>
      </w:r>
    </w:p>
    <w:p>
      <w:pPr>
        <w:pStyle w:val="Normal"/>
        <w:rPr/>
      </w:pPr>
      <w:r>
        <w:rPr/>
        <w:t>Zasięg emisji należy traktować jako lokalny.</w:t>
      </w:r>
    </w:p>
    <w:p>
      <w:pPr>
        <w:pStyle w:val="Tekst"/>
        <w:rPr/>
      </w:pPr>
      <w:r>
        <w:rPr/>
      </w:r>
    </w:p>
    <w:p>
      <w:pPr>
        <w:pStyle w:val="Stopka"/>
        <w:spacing w:before="0" w:after="60"/>
        <w:ind w:hanging="0"/>
        <w:rPr>
          <w:b/>
          <w:b/>
          <w:u w:val="single"/>
        </w:rPr>
      </w:pPr>
      <w:r>
        <w:rPr>
          <w:b/>
          <w:u w:val="single"/>
        </w:rPr>
        <w:t>Wykorzystywanie porównywalnych procesów i metod, które zostały skutecznie zastosowane w skali przemysłowej</w:t>
      </w:r>
    </w:p>
    <w:p>
      <w:pPr>
        <w:pStyle w:val="Normal"/>
        <w:rPr/>
      </w:pPr>
      <w:r>
        <w:rPr/>
        <w:t>Planowana instalacja do termicznego przekształcania odpadów jest nowoczesną instalacją bazującą na sprawdzonej technologii rusztowej. Instalacje tego rodzaju są od wielu lat obecne w branży termicznego przekształcania odpadów. W Europie technologie rusztowe stanowią największą część wszystkich instalacji termicznego przekształcania odpadów. Nowe wymagania dotyczące gospodarowania odpadami komunalnymi, a więc konieczność sortowania odpadów komunalnych w celu ich maksymalnego wykorzystania powoduje powstawanie pozostałości z takiego procesu, który jest głównym odpadem wykorzystywanym do produkcji paliwa alternatywnego. Wykorzystanie paliwa alternatywnego do celów produkcji energii cieplnej jest działaniem, które w najbliższych latach będzie z pewnością dynamicznie rozwijane. Wiąże się to z koniecznością ograniczenia ilości odpadów deponowanych na składowiskach, a technologia spalania odpadów jest w tej kwestii rozwiązaniem bardzo korzystnym, pozwalającym na bardzo efektywną produkcję energii z odpadów. Podobna technologia jest od kilkunastu lat stosowana z sukcesem w krajach Europy Zachodniej, m.in. przez brytyjsko-norweską firmę ENERGOS, która oferuje duże linie do utylizacji 35000-40000 ton odpadów rocznie. Zgodnie z założeniami KPGO, w Polsce tego rodzaju rozwiązania będą się systematycznie rozwijać.</w:t>
      </w:r>
    </w:p>
    <w:p>
      <w:pPr>
        <w:pStyle w:val="Tekst"/>
        <w:rPr/>
      </w:pPr>
      <w:r>
        <w:rPr/>
      </w:r>
    </w:p>
    <w:p>
      <w:pPr>
        <w:pStyle w:val="Tekst"/>
        <w:rPr>
          <w:b/>
          <w:b/>
          <w:color w:val="000000"/>
          <w:szCs w:val="24"/>
          <w:u w:val="single"/>
        </w:rPr>
      </w:pPr>
      <w:r>
        <w:rPr>
          <w:b/>
          <w:color w:val="000000"/>
          <w:szCs w:val="24"/>
          <w:u w:val="single"/>
        </w:rPr>
        <w:t>Postęp naukowo-techniczny</w:t>
      </w:r>
    </w:p>
    <w:p>
      <w:pPr>
        <w:pStyle w:val="Normal"/>
        <w:rPr/>
      </w:pPr>
      <w:r>
        <w:rPr/>
        <w:t xml:space="preserve">Zaproponowana technologia jest rozwiązaniem bazującym na najnowocześniejszych zdobyczach naukowych w zakresie alternatywnych metod termicznego przekształcania odpadów w małych instalacjach. </w:t>
      </w:r>
    </w:p>
    <w:p>
      <w:pPr>
        <w:pStyle w:val="Normal"/>
        <w:rPr/>
      </w:pPr>
      <w:r>
        <w:rPr/>
        <w:t>Producentem  pieca rusztowego, który ma wejść w skład planowanej instalacji, była uprzednio firma Ekokogeneracja S.A., która rozwinęła prototypowy i badawczy piec rusztowy do spalania odpadów zwany wodorowym generatorem energii do wersji przemysłowej pieca rusztowego, który pod handlową nazwą piec rusztowy WGE został zastosowany w referencyjnej przemysłowej instalacji spalania paliwa alternatywnego zlokalizowanej w miejscowości Szeligi.</w:t>
      </w:r>
    </w:p>
    <w:p>
      <w:pPr>
        <w:pStyle w:val="Normal"/>
        <w:spacing w:lineRule="auto" w:line="360"/>
        <w:rPr/>
      </w:pPr>
      <w:r>
        <w:rPr/>
      </w:r>
    </w:p>
    <w:p>
      <w:pPr>
        <w:pStyle w:val="Nagwek1"/>
        <w:numPr>
          <w:ilvl w:val="0"/>
          <w:numId w:val="2"/>
        </w:numPr>
        <w:rPr/>
      </w:pPr>
      <w:bookmarkStart w:id="147" w:name="_Toc518331366"/>
      <w:r>
        <w:rPr/>
        <w:t>WSKAZANIE, CZY DLA PLANOWANEGO PRZEDSIĘWZIĘCIA JEST KONIECZNE USTANOWIENIE OBSZARU OGRANICZONEGO UŻYTKOWANIA W ROZUMIENIU PRZEPISÓW USTAWY Z DNIA 27 KWIETNIA 2001 R. - PRAWO OCHRONY ŚRODOWISKA, ORAZ OKREŚLENIE GRANIC TAKIEGO OBSZARU, OGRANICZEŃ W ZAKRESIE PRZEZNACZENIA TERENU, WYMAGAŃ TECHNICZNYCH DOTYCZĄCYCH OBIEKTÓW BUDOWLANYCH I SPOSOBÓW KORZYSTANIA Z NICH</w:t>
      </w:r>
      <w:bookmarkEnd w:id="147"/>
      <w:r>
        <w:rPr/>
        <w:t xml:space="preserve"> </w:t>
      </w:r>
    </w:p>
    <w:p>
      <w:pPr>
        <w:pStyle w:val="Normal"/>
        <w:rPr/>
      </w:pPr>
      <w:r>
        <w:rPr/>
        <w:t xml:space="preserve">Zgodnie z art. 135 ust. 1 </w:t>
      </w:r>
      <w:r>
        <w:rPr>
          <w:i/>
        </w:rPr>
        <w:t>ustawy Prawo ochrony środowiska</w:t>
      </w:r>
      <w:r>
        <w:rPr/>
        <w:t>, jeżeli z postępowania w sprawie oceny oddziaływania na środowisko, z analizy porealizacyjnej albo z przeglądu ekologicznego wynika, że mimo zastosowania dostępnych rozwiązań technicznych, technologicznych i organizacyjnych nie mogą być dotrzymane standardy jakości środowiska poza terenem zakładu lub innego obiektu, to dla oczyszczalni ścieków, składowiska odpadów komunalnych, kompostowni, trasy komunikacyjnej, lotniska, linii i stacji elektroenergetycznej oraz instalacji radiokomunikacyjnej, radionawigacyjnej i radiolokacyjnej tworzy się obszar ograniczonego użytkowania.</w:t>
      </w:r>
    </w:p>
    <w:p>
      <w:pPr>
        <w:pStyle w:val="Normal"/>
        <w:rPr/>
      </w:pPr>
      <w:r>
        <w:rPr/>
        <w:t>Zgodnie z art. 135 ust. 6 ww. ustawy obszar ograniczonego użytkowania tworzy się także dla instalacji wymagającej pozwolenia zintegrowanego, innych niż wymienione w ust. 1, dla których pozwolenie na budowę zostało wydane przed dniem 1 października 2001 roku, a których użytkowanie rozpoczęło się nie później niż do dnia 30 czerwca 2003 roku, jeżeli, pomimo zastosowania najlepszych dostępnych technik, nie mogą być dotrzymane dopuszczalne poziomy hałasu poza terenem zakładu.</w:t>
      </w:r>
    </w:p>
    <w:p>
      <w:pPr>
        <w:pStyle w:val="Normal"/>
        <w:rPr/>
      </w:pPr>
      <w:r>
        <w:rPr/>
        <w:t>W przypadku projektowanego przedsięwzięcia nie mamy do czynienia z żadnym z przytoczonych powyżej przypadków, w związku z czym realizacja planowanego przedsięwzięcia nie wymaga wyznaczenia obszaru ograniczonego użytkowania.</w:t>
      </w:r>
    </w:p>
    <w:p>
      <w:pPr>
        <w:pStyle w:val="Normal"/>
        <w:spacing w:lineRule="auto" w:line="360"/>
        <w:rPr/>
      </w:pPr>
      <w:r>
        <w:rPr/>
      </w:r>
    </w:p>
    <w:p>
      <w:pPr>
        <w:pStyle w:val="Nagwek1"/>
        <w:numPr>
          <w:ilvl w:val="0"/>
          <w:numId w:val="2"/>
        </w:numPr>
        <w:rPr/>
      </w:pPr>
      <w:bookmarkStart w:id="148" w:name="_Toc518331367"/>
      <w:r>
        <w:rPr/>
        <w:t>ANALIZA MOŻLIWYCH KONFLIKTÓW SPOŁECZNYCH ZWIĄZANYCH Z PLANOWANYM PRZEDSIĘWZIĘCIEM</w:t>
      </w:r>
      <w:bookmarkEnd w:id="148"/>
      <w:r>
        <w:rPr/>
        <w:t xml:space="preserve"> </w:t>
      </w:r>
    </w:p>
    <w:p>
      <w:pPr>
        <w:pStyle w:val="Normal"/>
        <w:rPr/>
      </w:pPr>
      <w:r>
        <w:rPr/>
        <w:t xml:space="preserve">Możliwość wystąpienia konfliktów społecznych w przypadku każdej planowanej inwestycji wynikać może tak z przesłanek racjonalnych jak i pozbawionych podstaw. Celem wykonania niniejszego opracowania było określenie, czy w przedmiotowym przypadku względy ochrony środowiska mogą być podstawą do uniemożliwienia realizacji inwestycji. Wnioski płynące z raportu pozwalają przypuszczać, że istnieją warunki techniczne i organizacyjne pozwalające na realizację inwestycji w sposób zakładany przez Inwestora i jednocześnie wykluczający możliwość negatywnego oddziaływania na środowisko oraz na interes okolicznych mieszkańców. </w:t>
      </w:r>
    </w:p>
    <w:p>
      <w:pPr>
        <w:pStyle w:val="Normal"/>
        <w:rPr/>
      </w:pPr>
      <w:r>
        <w:rPr/>
        <w:t xml:space="preserve">Przedsięwzięcia związane z przekształcaniem odpadów, w tym w szczególności z termicznym przekształcaniem odpadów od lat są źródłem protestów społeczności lokalnych. Protesty te z reguły wynikają z utrwalonego przeświadczenia, że spalanie odpadów może prowadzić do emisji do powietrza szkodliwych substancji, w tym najczęściej wymienianych rakotwórczych dioksyn i furanów. Obawy tego rodzaju z reguły mają swoje podłoże w faktach dotyczących niekontrolowanego spalania odpadów w piecach domowych nieprzystosowanych technicznie do spalania tego typu paliwa, które to obawy są często powtarzanego w oderwaniu od kontekstu przez środki masowego przekazu. Tego typu działania polegające na spalaniu odpadów w nieprzystosowanych do tego procesu urządzeniach faktycznie prowadzą do uwalniania wielu niebezpiecznych substancji jednak sam przekaz nie ma żadnego odniesienia do nowoczesnego spalania odpadów w instalacjach spełniających wszystkie wymagane prawem normy. Należy także zaznaczyć, że najczęściej z protestami społecznymi mamy do czynienia w przypadkach lokalizowania instalacji termicznego przetwarzania odpadów w bezpośrednim sąsiedztwie osiedli ludzkich. Pomimo braku racjonalnych podstaw tego rodzaju zachowań społecznych, są one nierzadką przyczyną prób blokowania inwestycji. </w:t>
      </w:r>
    </w:p>
    <w:p>
      <w:pPr>
        <w:pStyle w:val="Normal"/>
        <w:rPr/>
      </w:pPr>
      <w:r>
        <w:rPr/>
        <w:t>Poza obawami i niepokojem mieszkańców związanym z emisją niebezpiecznych substancji do powietrza z planowanej instalacji, tematem budzącym negatywne emocje jest przywóz odpadów i śmieci spoza terenu miasta Żywca.</w:t>
      </w:r>
    </w:p>
    <w:p>
      <w:pPr>
        <w:pStyle w:val="Normal"/>
        <w:rPr/>
      </w:pPr>
      <w:r>
        <w:rPr/>
        <w:t xml:space="preserve">Pomimo realizacji w Polsce szeregu przedsięwzięć związanych z termicznym przekształcaniem odpadów komunalnych, termin „spalarnia” w dalszym ciągu wywołuje skrajne emocje. Wynika to głównie z niewielkiej ilości dostępnych informacje na ich temat w środkach masowego przekazu  oraz  braku wiedzy o zasadach funkcjonowania tego typu instalacji. </w:t>
      </w:r>
    </w:p>
    <w:p>
      <w:pPr>
        <w:pStyle w:val="Normal"/>
        <w:rPr/>
      </w:pPr>
      <w:r>
        <w:rPr/>
        <w:t>W przedmiotowym przypadku mamy po pierwsze do czynienia z nowoczesną instalacją termicznego przetwarzania odpadów, bazującą na najlepszej dostępnej technice w tym zakresie oraz posiadającą wszelkie możliwe zabezpieczenia techniczne ograniczające negatywne oddziaływanie na środowisko w zakresie emisji zanieczyszczeń do powietrza, a to ten aspekt jest najczęściej poruszany w przypadku protestów społecznych. W ocenie Inwestora racjonalne, a więc poparte rzeczowymi faktami (w tym wynikającymi z niniejszego opracowania), argumenty dają wystarczającą podstawę do realizacji niniejszego przedsięwzięcia bez wywoływania jakichkolwiek konfliktów społecznych. Ponadto lokalizacja inwestycji na terenie przemysłowym, położonym z dala od osad ludzkich, bez jakiegokolwiek wpływu na życie i zdrowie ludzi, a także braku jakiegokolwiek wpływu na objęte ochroną obszary przyrodnicze znajdujące się w sąsiedztwie jedynie w tym przekonaniu utwierdzają.</w:t>
      </w:r>
    </w:p>
    <w:p>
      <w:pPr>
        <w:pStyle w:val="Normal"/>
        <w:rPr/>
      </w:pPr>
      <w:r>
        <w:rPr/>
        <w:t>W przypadku analizowanego przedsięwzięcia Spółka Beskid Żywiec Sp. z o.o. jako Inwestor, razem z Urzędem Miasta Żywca zorganizowały prezentację planów dotyczących planowanego przedsięwzięcia w omawianej lokalizacji oraz w dwóch pozostałych lokalizacjach (jedna w Żywcu, druga w gminie Radziechowy Wieprz). Prezentacja odbyła się w publicznie w trakcie dwóch spotkań z mieszkańcami, które miały miejsce 28 i 29 listopada 2017 r. W trakcie spotkań, w których uczestniczył Burmistrz Żywca oraz przedstawiciele Inwestora zostały przedstawione założenia technologiczne oraz wstępne obliczenia dotyczące emisji zanieczyszczeń do powietrza dla planowanych instalacji.</w:t>
      </w:r>
    </w:p>
    <w:p>
      <w:pPr>
        <w:pStyle w:val="Normal"/>
        <w:rPr/>
      </w:pPr>
      <w:r>
        <w:rPr/>
        <w:t>W trakcie spotkań ustalono, że Inwestor będzie prowadził dalsze działania mające na celu rzetelne informowanie mieszkańców, w zakresie lokalizacji, wyboru technologii, zabezpieczeń, oddziaływania przedsięwzięcia na środowisko.</w:t>
      </w:r>
    </w:p>
    <w:p>
      <w:pPr>
        <w:pStyle w:val="Normal"/>
        <w:rPr/>
      </w:pPr>
      <w:r>
        <w:rPr/>
        <w:t>W ramach konsultacji, w maju 2018 r. odbyła się wizyta studyjna w Ekospalarni Kraków, w której uczestniczyli mieszkańcy Żywca, przedstawiciele lokalnej prasy, przedstawiciele władz miasta Żywca oraz przedstawiciele spółki Beskid Żywiec.</w:t>
      </w:r>
    </w:p>
    <w:p>
      <w:pPr>
        <w:pStyle w:val="Normal"/>
        <w:rPr/>
      </w:pPr>
      <w:r>
        <w:rPr/>
        <w:t xml:space="preserve">W ramach kampanii informacyjnej zostały także opublikowane informacje dotyczące planowanego przedsięwzięcia w prasie lokalnej. </w:t>
      </w:r>
    </w:p>
    <w:p>
      <w:pPr>
        <w:pStyle w:val="Normal"/>
        <w:rPr/>
      </w:pPr>
      <w:r>
        <w:rPr/>
        <w:t xml:space="preserve">W spotkaniach z mieszkańcami w listopadzie 2017 r. obecni byli przedstawiciele organizacji pozarządowych, którzy zapowiedzieli uczestnictwo w postępowaniu administracyjnym dotyczącym uzyskania decyzji środowiskowej na prawach strony. </w:t>
      </w:r>
    </w:p>
    <w:p>
      <w:pPr>
        <w:pStyle w:val="Normal"/>
        <w:rPr/>
      </w:pPr>
      <w:r>
        <w:rPr/>
        <w:t>Oczywiście zawsze istnieje możliwość pojawienia się głosów sprzeciwu społeczności lokalnej oraz organizacji pozarządowych, jednak na obecnym etapie nie można określić ich prawdopodobieństwa. W takim przypadku przedstawienie rzeczowej argumentacji o braku negatywnego oddziaływania inwestycji oraz korzyści płynących z takiego rozwiązania (unieszkodliwienie odpadów palnych, których nie można składować, z wykorzystaniem energii, zamiast płacenia za ich przetwarzanie, częściowe zastąpienie kotłów na olej opałowy i węgiel) powinno pomóc rozwiać pojawiające się wątpliwości i obawy.</w:t>
      </w:r>
    </w:p>
    <w:p>
      <w:pPr>
        <w:pStyle w:val="Normal"/>
        <w:spacing w:lineRule="auto" w:line="360"/>
        <w:rPr/>
      </w:pPr>
      <w:r>
        <w:rPr/>
      </w:r>
    </w:p>
    <w:p>
      <w:pPr>
        <w:pStyle w:val="Nagwek1"/>
        <w:numPr>
          <w:ilvl w:val="0"/>
          <w:numId w:val="2"/>
        </w:numPr>
        <w:rPr/>
      </w:pPr>
      <w:bookmarkStart w:id="149" w:name="_Toc518331368"/>
      <w:r>
        <w:rPr/>
        <w:t>PRZEDSTAWIENIE PROPOZYCJI MONITORINGU ODDZIAŁYWANIA PLANOWANEGO PRZEDSIĘWZIĘCIA NA ETAPIE JEGO BUDOWY I EKSPLOATACJI LUB UŻYTKOWANIA, W SZCZEGÓLNOŚCI NA CELE I PRZEDMIOT OCHRONY OBSZARU NATURA 2000 ORAZ INTEGRALNOŚĆ TEGO OBSZARU</w:t>
      </w:r>
      <w:bookmarkEnd w:id="149"/>
      <w:r>
        <w:rPr/>
        <w:t xml:space="preserve"> </w:t>
      </w:r>
    </w:p>
    <w:p>
      <w:pPr>
        <w:pStyle w:val="Nagwek2"/>
        <w:numPr>
          <w:ilvl w:val="1"/>
          <w:numId w:val="2"/>
        </w:numPr>
        <w:ind w:hanging="578"/>
        <w:rPr/>
      </w:pPr>
      <w:bookmarkStart w:id="150" w:name="_Toc518331369"/>
      <w:r>
        <w:rPr/>
        <w:t>Przedstawienie propozycji monitoringu oddziaływania planowanego przedsięwzięcia na etapie realizacji</w:t>
      </w:r>
      <w:bookmarkEnd w:id="150"/>
      <w:r>
        <w:rPr/>
        <w:t xml:space="preserve"> </w:t>
      </w:r>
    </w:p>
    <w:p>
      <w:pPr>
        <w:pStyle w:val="Normal"/>
        <w:rPr/>
      </w:pPr>
      <w:r>
        <w:rPr/>
        <w:t xml:space="preserve">Etap realizacji przedsięwzięcia wiąże się z prowadzeniem okresowo uciążliwych prac budowlanych. Szczegółowy monitoring tego procesu pod kątem oddziaływania na środowisko nie jest wymagany. Przedsięwzięcie będzie miało niewielki, lokalny charakter i uciążliwość na tym etapie będzie ograniczona. Na etapie budowy powinna być prowadzona ewidencja wytworzonych odpadów i zapewnione odpowiednie gospodarowanie nimi, w szczególności dotyczy to magazynowania odpadów na placu budowy w warunkach zabezpieczających przed ich możliwym negatywnym wpływem na środowisko. Konieczne jest także monitorowanie czasu pracy tak, aby nie dopuścić do prowadzenia uciążliwych hałasowo robót budowlanych w porze nocnej. </w:t>
      </w:r>
    </w:p>
    <w:p>
      <w:pPr>
        <w:pStyle w:val="Normal"/>
        <w:rPr/>
      </w:pPr>
      <w:r>
        <w:rPr/>
        <w:t xml:space="preserve">Na etapie prowadzenia prac budowlanych istotną kwestią w odniesieniu do elementów środowiskowych, jest przestrzeganie następujących zasad: </w:t>
      </w:r>
    </w:p>
    <w:p>
      <w:pPr>
        <w:pStyle w:val="Normal"/>
        <w:numPr>
          <w:ilvl w:val="0"/>
          <w:numId w:val="34"/>
        </w:numPr>
        <w:rPr/>
      </w:pPr>
      <w:r>
        <w:rPr/>
        <w:t xml:space="preserve">powołanie Inżyniera Kontraktu sprawującego nadzór ze strony Inwestora nad realizacją inwestycji, </w:t>
      </w:r>
    </w:p>
    <w:p>
      <w:pPr>
        <w:pStyle w:val="Normal"/>
        <w:numPr>
          <w:ilvl w:val="0"/>
          <w:numId w:val="34"/>
        </w:numPr>
        <w:rPr/>
      </w:pPr>
      <w:r>
        <w:rPr/>
        <w:t xml:space="preserve">współpraca z projektantami, </w:t>
      </w:r>
    </w:p>
    <w:p>
      <w:pPr>
        <w:pStyle w:val="Normal"/>
        <w:numPr>
          <w:ilvl w:val="0"/>
          <w:numId w:val="34"/>
        </w:numPr>
        <w:rPr/>
      </w:pPr>
      <w:r>
        <w:rPr/>
        <w:t xml:space="preserve">realizacja budowy zgodnie z zatwierdzoną dokumentacją, przyjętym harmonogramem, obowiązującymi przepisami i decyzjami administracyjnymi, </w:t>
      </w:r>
    </w:p>
    <w:p>
      <w:pPr>
        <w:pStyle w:val="Normal"/>
        <w:numPr>
          <w:ilvl w:val="0"/>
          <w:numId w:val="34"/>
        </w:numPr>
        <w:rPr/>
      </w:pPr>
      <w:r>
        <w:rPr/>
        <w:t xml:space="preserve">okresowe przeglądy budowy i odbiory częściowe etapów robot, </w:t>
      </w:r>
    </w:p>
    <w:p>
      <w:pPr>
        <w:pStyle w:val="Normal"/>
        <w:numPr>
          <w:ilvl w:val="0"/>
          <w:numId w:val="34"/>
        </w:numPr>
        <w:rPr/>
      </w:pPr>
      <w:r>
        <w:rPr/>
        <w:t xml:space="preserve">zabezpieczenie terenu budowy, </w:t>
      </w:r>
    </w:p>
    <w:p>
      <w:pPr>
        <w:pStyle w:val="Normal"/>
        <w:numPr>
          <w:ilvl w:val="0"/>
          <w:numId w:val="34"/>
        </w:numPr>
        <w:rPr/>
      </w:pPr>
      <w:r>
        <w:rPr/>
        <w:t xml:space="preserve">prowadzenie na bieżąco dokumentacji budowy, </w:t>
      </w:r>
    </w:p>
    <w:p>
      <w:pPr>
        <w:pStyle w:val="Normal"/>
        <w:numPr>
          <w:ilvl w:val="0"/>
          <w:numId w:val="34"/>
        </w:numPr>
        <w:rPr/>
      </w:pPr>
      <w:r>
        <w:rPr/>
        <w:t xml:space="preserve">odprowadzanie ścieków z budowy w sposób uzgodniony w dokumentacji projektowej, </w:t>
      </w:r>
    </w:p>
    <w:p>
      <w:pPr>
        <w:pStyle w:val="Normal"/>
        <w:numPr>
          <w:ilvl w:val="0"/>
          <w:numId w:val="34"/>
        </w:numPr>
        <w:rPr/>
      </w:pPr>
      <w:r>
        <w:rPr/>
        <w:t xml:space="preserve">szkolenia pracowników, </w:t>
      </w:r>
    </w:p>
    <w:p>
      <w:pPr>
        <w:pStyle w:val="Normal"/>
        <w:numPr>
          <w:ilvl w:val="0"/>
          <w:numId w:val="34"/>
        </w:numPr>
        <w:rPr/>
      </w:pPr>
      <w:r>
        <w:rPr/>
        <w:t xml:space="preserve">używanie sprzętu ochrony osobistej i przestrzeganie zasad BHP przy prowadzeniu prac. </w:t>
      </w:r>
    </w:p>
    <w:p>
      <w:pPr>
        <w:pStyle w:val="Normal"/>
        <w:rPr/>
      </w:pPr>
      <w:r>
        <w:rPr/>
      </w:r>
    </w:p>
    <w:p>
      <w:pPr>
        <w:pStyle w:val="Nagwek2"/>
        <w:numPr>
          <w:ilvl w:val="1"/>
          <w:numId w:val="2"/>
        </w:numPr>
        <w:ind w:hanging="578"/>
        <w:rPr/>
      </w:pPr>
      <w:bookmarkStart w:id="151" w:name="_Toc518331370"/>
      <w:r>
        <w:rPr/>
        <w:t>Przedstawienie propozycji monitoringu oddziaływania planowanego przedsięwzięcia na etapie eksploatacji</w:t>
      </w:r>
      <w:bookmarkEnd w:id="151"/>
      <w:r>
        <w:rPr/>
        <w:t xml:space="preserve"> </w:t>
      </w:r>
    </w:p>
    <w:p>
      <w:pPr>
        <w:pStyle w:val="Normal"/>
        <w:rPr/>
      </w:pPr>
      <w:r>
        <w:rPr/>
        <w:t xml:space="preserve">Planowana instalacji zostanie wyposażona w urządzenia do prowadzenia ciągłych pomiarów wybranych parametrów procesu technologicznego oraz emitowanych zanieczyszczeń. Wymagania ustawowe dotyczące prowadzenia pomiarów wielkości emisji wynikają art. 147 ustawy z dnia 27 kwietnia 2001 roku </w:t>
      </w:r>
      <w:r>
        <w:rPr>
          <w:i/>
        </w:rPr>
        <w:t>Prawo ochrony środowiska</w:t>
      </w:r>
      <w:r>
        <w:rPr/>
        <w:t xml:space="preserve">. Akty wykonawcze do ustawy Prawo ochrony środowiska oraz do ustawy o odpadach precyzują warunki, sposób i zakres prowadzenia pomiarów emisji z instalacji oraz monitorowania procesów technologicznych. </w:t>
      </w:r>
    </w:p>
    <w:p>
      <w:pPr>
        <w:pStyle w:val="Normal"/>
        <w:rPr/>
      </w:pPr>
      <w:r>
        <w:rPr/>
        <w:t xml:space="preserve">Do najważniejszych aktów prawnych określających </w:t>
      </w:r>
      <w:r>
        <w:rPr>
          <w:rFonts w:ascii="Open Sans" w:hAnsi="Open Sans"/>
          <w:color w:val="333333"/>
          <w:shd w:fill="FFFFFF" w:val="clear"/>
        </w:rPr>
        <w:t>wymagania w zakresie prowadzenia pomiarów wielkości emisji oraz sposób ich prezentowania</w:t>
      </w:r>
      <w:r>
        <w:rPr/>
        <w:t xml:space="preserve"> należą: </w:t>
      </w:r>
    </w:p>
    <w:p>
      <w:pPr>
        <w:pStyle w:val="Normal"/>
        <w:numPr>
          <w:ilvl w:val="0"/>
          <w:numId w:val="34"/>
        </w:numPr>
        <w:rPr/>
      </w:pPr>
      <w:r>
        <w:rPr/>
        <w:t xml:space="preserve">rozporządzenie Ministra Środowiska z dnia 30 października 2014 r. </w:t>
      </w:r>
      <w:r>
        <w:rPr>
          <w:i/>
        </w:rPr>
        <w:t xml:space="preserve">w sprawie wymagań w zakresie prowadzenia pomiarów wielkości emisji oraz pomiarów ilości pobieranej wody </w:t>
      </w:r>
      <w:r>
        <w:rPr/>
        <w:t>(Dz.U.2014.1542),</w:t>
      </w:r>
    </w:p>
    <w:p>
      <w:pPr>
        <w:pStyle w:val="Normal"/>
        <w:numPr>
          <w:ilvl w:val="0"/>
          <w:numId w:val="34"/>
        </w:numPr>
        <w:rPr/>
      </w:pPr>
      <w:r>
        <w:rPr/>
        <w:t xml:space="preserve">rozporządzenie Ministra Środowiska z dnia 19 listopada 2008 r. </w:t>
      </w:r>
      <w:r>
        <w:rPr>
          <w:i/>
        </w:rPr>
        <w:t>w sprawie rodzajów wyników pomiarów prowadzonych w związku z eksploatacją instalacji lub urządzenia i innych danych oraz terminów i sposobów ich prezentacji</w:t>
      </w:r>
      <w:r>
        <w:rPr/>
        <w:t xml:space="preserve"> (Dz.U.2008.215.1366 ),</w:t>
      </w:r>
    </w:p>
    <w:p>
      <w:pPr>
        <w:pStyle w:val="Normal"/>
        <w:numPr>
          <w:ilvl w:val="0"/>
          <w:numId w:val="34"/>
        </w:numPr>
        <w:rPr/>
      </w:pPr>
      <w:r>
        <w:rPr/>
        <w:t xml:space="preserve">rozporządzenie Ministra Środowiska z dnia 1 marca 2018 r. </w:t>
      </w:r>
      <w:r>
        <w:rPr>
          <w:i/>
        </w:rPr>
        <w:t xml:space="preserve">w sprawie standardów emisyjnych dla niektórych rodzajów instalacji, źródeł spalania paliw oraz urządzeń spalania lub współspalania odpadów </w:t>
      </w:r>
      <w:r>
        <w:rPr/>
        <w:t>(Dz.U.2018.680),</w:t>
      </w:r>
    </w:p>
    <w:p>
      <w:pPr>
        <w:pStyle w:val="Normal"/>
        <w:numPr>
          <w:ilvl w:val="0"/>
          <w:numId w:val="34"/>
        </w:numPr>
        <w:rPr/>
      </w:pPr>
      <w:r>
        <w:rPr/>
        <w:t xml:space="preserve">rozporządzenie Ministra Rozwoju z dnia 21 stycznia 2016 r. </w:t>
      </w:r>
      <w:r>
        <w:rPr>
          <w:i/>
        </w:rPr>
        <w:t xml:space="preserve">w sprawie wymagań dotyczących prowadzenia procesu termicznego przekształcania odpadów oraz sposobów postępowania z odpadami powstałymi w wyniku tego procesu </w:t>
      </w:r>
      <w:r>
        <w:rPr/>
        <w:t>(Dz.U.2016.108).</w:t>
      </w:r>
    </w:p>
    <w:p>
      <w:pPr>
        <w:pStyle w:val="Normal"/>
        <w:rPr/>
      </w:pPr>
      <w:r>
        <w:rPr/>
      </w:r>
    </w:p>
    <w:p>
      <w:pPr>
        <w:pStyle w:val="Nagwek3"/>
        <w:numPr>
          <w:ilvl w:val="2"/>
          <w:numId w:val="2"/>
        </w:numPr>
        <w:ind w:hanging="851"/>
        <w:rPr/>
      </w:pPr>
      <w:bookmarkStart w:id="152" w:name="_Toc518331371"/>
      <w:r>
        <w:rPr/>
        <w:t>Monitoring parametrów procesowych</w:t>
      </w:r>
      <w:bookmarkEnd w:id="152"/>
      <w:r>
        <w:rPr/>
        <w:t xml:space="preserve"> </w:t>
      </w:r>
    </w:p>
    <w:p>
      <w:pPr>
        <w:pStyle w:val="Normal"/>
        <w:rPr>
          <w:szCs w:val="24"/>
        </w:rPr>
      </w:pPr>
      <w:r>
        <w:rPr/>
        <w:t xml:space="preserve">Zgodnie z rozporządzeniem Ministra Rozwoju z dnia 21 stycznia 2016 r. </w:t>
      </w:r>
      <w:r>
        <w:rPr>
          <w:i/>
        </w:rPr>
        <w:t>w sprawie wymagań dotyczących prowadzenia procesu termicznego przekształcania odpadów oraz sposobów postępowania z odpadami powstałymi w wyniku tego procesu</w:t>
      </w:r>
      <w:r>
        <w:rPr/>
        <w:t>, podczas prowadzenia procesu termicznego przekształcania odpadów, p</w:t>
      </w:r>
      <w:r>
        <w:rPr>
          <w:szCs w:val="24"/>
        </w:rPr>
        <w:t>odczas prowadzenia procesu w komorze spalania prowadzi się ciągły pomiar:</w:t>
      </w:r>
    </w:p>
    <w:p>
      <w:pPr>
        <w:pStyle w:val="Normal"/>
        <w:numPr>
          <w:ilvl w:val="0"/>
          <w:numId w:val="47"/>
        </w:numPr>
        <w:ind w:left="709" w:hanging="312"/>
        <w:rPr>
          <w:szCs w:val="24"/>
        </w:rPr>
      </w:pPr>
      <w:r>
        <w:rPr>
          <w:szCs w:val="24"/>
        </w:rPr>
        <w:t>temperatury gazów spalinowych, mierzonej blisko ściany wewnętrznej lub w innym reprezentatywnym miejscu komory spalania, w sposób eliminujący wpływ promieniowania cieplnego płomienia,</w:t>
      </w:r>
    </w:p>
    <w:p>
      <w:pPr>
        <w:pStyle w:val="Normal"/>
        <w:numPr>
          <w:ilvl w:val="0"/>
          <w:numId w:val="47"/>
        </w:numPr>
        <w:ind w:left="709" w:hanging="312"/>
        <w:rPr>
          <w:szCs w:val="24"/>
        </w:rPr>
      </w:pPr>
      <w:r>
        <w:rPr>
          <w:szCs w:val="24"/>
        </w:rPr>
        <w:t>stężenia tlenu w gazach spalinowych,</w:t>
      </w:r>
    </w:p>
    <w:p>
      <w:pPr>
        <w:pStyle w:val="Normal"/>
        <w:numPr>
          <w:ilvl w:val="0"/>
          <w:numId w:val="47"/>
        </w:numPr>
        <w:ind w:left="709" w:hanging="312"/>
        <w:rPr>
          <w:szCs w:val="24"/>
        </w:rPr>
      </w:pPr>
      <w:r>
        <w:rPr>
          <w:szCs w:val="24"/>
        </w:rPr>
        <w:t>ciśnienia gazów spalinowych.</w:t>
      </w:r>
    </w:p>
    <w:p>
      <w:pPr>
        <w:pStyle w:val="Normal"/>
        <w:rPr>
          <w:szCs w:val="24"/>
        </w:rPr>
      </w:pPr>
      <w:r>
        <w:rPr>
          <w:szCs w:val="24"/>
        </w:rPr>
        <w:t>Czas przebywania gazów spalinowych w wymaganej temperaturze oraz zawartość tlenu w gazach spalinowych podlegają weryfikacji podczas rozruchu i po każdej modernizacji spalarni odpadów.</w:t>
      </w:r>
    </w:p>
    <w:p>
      <w:pPr>
        <w:pStyle w:val="Normal"/>
        <w:rPr>
          <w:szCs w:val="24"/>
        </w:rPr>
      </w:pPr>
      <w:r>
        <w:rPr>
          <w:szCs w:val="24"/>
        </w:rPr>
        <w:t>W przypadku gdy techniki pomiarowe zastosowane do poboru i analizy składu gazów spalinowych nie obejmują osuszania gazów przed ich analizą, proces monitoruje się także w zakresie zawartości pary wodnej w gazach spalinowych.</w:t>
      </w:r>
    </w:p>
    <w:p>
      <w:pPr>
        <w:pStyle w:val="Normal"/>
        <w:rPr/>
      </w:pPr>
      <w:r>
        <w:rPr/>
        <w:t xml:space="preserve">Do przeprowadzania wymaganych pomiarów stosuje się urządzenia techniczne do ciągłego pomiaru parametrów procesu. Urządzenia, należy poddawać corocznym przeglądom technicznym oraz nie rzadziej niż raz na 3 lata kalibracji. </w:t>
      </w:r>
    </w:p>
    <w:p>
      <w:pPr>
        <w:pStyle w:val="Normal"/>
        <w:rPr/>
      </w:pPr>
      <w:r>
        <w:rPr/>
        <w:t xml:space="preserve">Dopuszczalne do wprowadzenia do powietrza ilości gazów lub pyłów określają standardy emisyjne z instalacji. </w:t>
      </w:r>
    </w:p>
    <w:p>
      <w:pPr>
        <w:pStyle w:val="Nagwek3"/>
        <w:numPr>
          <w:ilvl w:val="2"/>
          <w:numId w:val="2"/>
        </w:numPr>
        <w:ind w:hanging="851"/>
        <w:rPr/>
      </w:pPr>
      <w:bookmarkStart w:id="153" w:name="_Toc518331372"/>
      <w:r>
        <w:rPr/>
        <w:t>Monitoring emisji do powietrza</w:t>
      </w:r>
      <w:bookmarkEnd w:id="153"/>
      <w:r>
        <w:rPr/>
        <w:t xml:space="preserve"> </w:t>
      </w:r>
    </w:p>
    <w:p>
      <w:pPr>
        <w:pStyle w:val="Normal"/>
        <w:rPr/>
      </w:pPr>
      <w:r>
        <w:rPr/>
        <w:t xml:space="preserve">Zgodnie z rozporządzeniem Ministra Środowiska z dnia 30 października 2014 r. </w:t>
      </w:r>
      <w:r>
        <w:rPr>
          <w:i/>
        </w:rPr>
        <w:t>w sprawie wymagań w zakresie prowadzenia pomiarów wielkości emisji oraz pomiarów ilości pobieranej wody</w:t>
      </w:r>
      <w:r>
        <w:rPr/>
        <w:t>, ciągłe i okresowe pomiary emisji do powietrza prowadzi się dla instalacji i urządzeń spalania lub współspalania odpadów, w zależności od rodzaju substancji lub parametru określonych w załączniku do rozporządzenia.</w:t>
      </w:r>
    </w:p>
    <w:p>
      <w:pPr>
        <w:pStyle w:val="Normal"/>
        <w:rPr/>
      </w:pPr>
      <w:r>
        <w:rPr/>
        <w:t>Okresowe pomiary emisji do powietrza prowadzi się co najmniej raz na sześć miesięcy, a przez pierwszy rok eksploatacji instalacji i urządzenia spalania lub współspalania odpadów - co najmniej raz na trzy miesiące.</w:t>
      </w:r>
    </w:p>
    <w:p>
      <w:pPr>
        <w:pStyle w:val="Normal"/>
        <w:rPr/>
      </w:pPr>
      <w:r>
        <w:rPr/>
        <w:t>Zamiast ciągłych pomiarów emisji do powietrza mogą być prowadzone okresowe pomiary emisji do powietrza z częstotliwością określoną powyżej:</w:t>
      </w:r>
    </w:p>
    <w:p>
      <w:pPr>
        <w:pStyle w:val="Normal"/>
        <w:numPr>
          <w:ilvl w:val="0"/>
          <w:numId w:val="49"/>
        </w:numPr>
        <w:ind w:left="709" w:hanging="312"/>
        <w:rPr>
          <w:szCs w:val="24"/>
        </w:rPr>
      </w:pPr>
      <w:r>
        <w:rPr>
          <w:szCs w:val="24"/>
        </w:rPr>
        <w:t>w przypadku chlorowodoru lub dwutlenku siarki - jeżeli prowadzący instalację albo użytkownik urządzenia spalania lub współspalania odpadów może wykazać, że emisje chlorowodoru lub dwutlenku siarki w żadnych okolicznościach nie będą wyższe niż ich standardy emisyjne,</w:t>
      </w:r>
    </w:p>
    <w:p>
      <w:pPr>
        <w:pStyle w:val="Normal"/>
        <w:numPr>
          <w:ilvl w:val="0"/>
          <w:numId w:val="49"/>
        </w:numPr>
        <w:ind w:left="709" w:hanging="312"/>
        <w:rPr>
          <w:szCs w:val="24"/>
        </w:rPr>
      </w:pPr>
      <w:r>
        <w:rPr>
          <w:szCs w:val="24"/>
        </w:rPr>
        <w:t>w przypadku fluorowodoru:</w:t>
      </w:r>
    </w:p>
    <w:p>
      <w:pPr>
        <w:pStyle w:val="Normal"/>
        <w:numPr>
          <w:ilvl w:val="0"/>
          <w:numId w:val="50"/>
        </w:numPr>
        <w:rPr/>
      </w:pPr>
      <w:r>
        <w:rPr/>
        <w:t>jeżeli prowadzący instalację albo użytkownik urządzenia spalania lub współspalania odpadów może wykazać, że emisja fluorowodoru w żadnych okolicznościach nie będzie wyższa niż standardy emisyjne tej substancji lub</w:t>
      </w:r>
    </w:p>
    <w:p>
      <w:pPr>
        <w:pStyle w:val="Normal"/>
        <w:numPr>
          <w:ilvl w:val="0"/>
          <w:numId w:val="50"/>
        </w:numPr>
        <w:rPr/>
      </w:pPr>
      <w:r>
        <w:rPr/>
        <w:t>jeżeli w wyniku neutralizacji chlorowodoru jest zapewnione dotrzymywanie standardu emisyjnego tej substancji,</w:t>
      </w:r>
    </w:p>
    <w:p>
      <w:pPr>
        <w:pStyle w:val="Normal"/>
        <w:numPr>
          <w:ilvl w:val="0"/>
          <w:numId w:val="49"/>
        </w:numPr>
        <w:ind w:left="709" w:hanging="312"/>
        <w:rPr/>
      </w:pPr>
      <w:r>
        <w:rPr/>
        <w:t xml:space="preserve">w przypadku tlenków azotu rozumianych jako tlenek azotu i dwutlenek azotu w przeliczeniu na dwutlenek azotu - jeżeli prowadzący istniejącą instalację spalania lub współspalania </w:t>
      </w:r>
      <w:r>
        <w:rPr>
          <w:szCs w:val="24"/>
        </w:rPr>
        <w:t>odpadów</w:t>
      </w:r>
      <w:r>
        <w:rPr/>
        <w:t xml:space="preserve"> lub użytkownik istniejącego urządzenia spalania lub współspalania odpadów, o zdolności przetwarzania poniżej 6 Mg odpadów na godzinę, może wykazać, że emisja tlenków azotu z tej instalacji lub urządzenia w żadnych okolicznościach nie będzie wyższa niż ich standardy emisyjne.</w:t>
      </w:r>
    </w:p>
    <w:p>
      <w:pPr>
        <w:pStyle w:val="Normal"/>
        <w:rPr/>
      </w:pPr>
      <w:r>
        <w:rPr/>
        <w:t>Zakres prowadzenia pomiarów okresowych i ciągłych oraz dopuszczone metody pomiarowe przedstawiają poniższe tabele.</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58</w:t>
      </w:r>
      <w:r>
        <w:fldChar w:fldCharType="end"/>
      </w:r>
      <w:r>
        <w:rPr/>
        <w:t>.</w:t>
      </w:r>
      <w:r>
        <w:rPr>
          <w:b w:val="false"/>
        </w:rPr>
        <w:t xml:space="preserve"> Substancje i parametry mierzone w sposób ciągły oraz metodyki referencyjne wykonywania pomiarów ciągłych</w:t>
      </w:r>
    </w:p>
    <w:tbl>
      <w:tblPr>
        <w:tblW w:w="9498" w:type="dxa"/>
        <w:jc w:val="left"/>
        <w:tblInd w:w="-88"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5" w:type="dxa"/>
          <w:left w:w="5" w:type="dxa"/>
          <w:bottom w:w="15" w:type="dxa"/>
          <w:right w:w="15" w:type="dxa"/>
        </w:tblCellMar>
        <w:tblLook w:firstRow="1" w:noVBand="1" w:lastRow="0" w:firstColumn="1" w:lastColumn="0" w:noHBand="0" w:val="04a0"/>
      </w:tblPr>
      <w:tblGrid>
        <w:gridCol w:w="425"/>
        <w:gridCol w:w="2922"/>
        <w:gridCol w:w="1613"/>
        <w:gridCol w:w="4537"/>
      </w:tblGrid>
      <w:tr>
        <w:trPr>
          <w:tblHeader w:val="true"/>
          <w:trHeight w:val="35" w:hRule="atLeast"/>
        </w:trPr>
        <w:tc>
          <w:tcPr>
            <w:tcW w:w="425"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D9D9" w:val="clear"/>
            <w:tcMar>
              <w:left w:w="5"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Lp.</w:t>
            </w:r>
          </w:p>
        </w:tc>
        <w:tc>
          <w:tcPr>
            <w:tcW w:w="2922" w:type="dxa"/>
            <w:tcBorders>
              <w:top w:val="single" w:sz="8" w:space="0" w:color="000001"/>
              <w:bottom w:val="single" w:sz="8" w:space="0" w:color="000001"/>
              <w:right w:val="single" w:sz="8" w:space="0" w:color="000001"/>
              <w:insideH w:val="single" w:sz="8" w:space="0" w:color="000001"/>
              <w:insideV w:val="single" w:sz="8"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Nazwa substancji lub parametru - zakres</w:t>
            </w:r>
          </w:p>
        </w:tc>
        <w:tc>
          <w:tcPr>
            <w:tcW w:w="1613" w:type="dxa"/>
            <w:tcBorders>
              <w:top w:val="single" w:sz="8" w:space="0" w:color="000001"/>
              <w:bottom w:val="single" w:sz="8" w:space="0" w:color="000001"/>
              <w:right w:val="single" w:sz="8" w:space="0" w:color="000001"/>
              <w:insideH w:val="single" w:sz="8" w:space="0" w:color="000001"/>
              <w:insideV w:val="single" w:sz="8"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Jednostka miary</w:t>
            </w:r>
          </w:p>
        </w:tc>
        <w:tc>
          <w:tcPr>
            <w:tcW w:w="4537" w:type="dxa"/>
            <w:tcBorders>
              <w:top w:val="single" w:sz="8" w:space="0" w:color="000001"/>
              <w:bottom w:val="single" w:sz="8" w:space="0" w:color="000001"/>
              <w:right w:val="single" w:sz="8" w:space="0" w:color="000001"/>
              <w:insideH w:val="single" w:sz="8" w:space="0" w:color="000001"/>
              <w:insideV w:val="single" w:sz="8"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Metodyka referencyjna</w:t>
            </w:r>
          </w:p>
        </w:tc>
      </w:tr>
      <w:tr>
        <w:trPr>
          <w:trHeight w:val="33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Pył ogółem</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technika dowolna wzorcowana metodą grawimetryczną</w:t>
            </w:r>
          </w:p>
        </w:tc>
      </w:tr>
      <w:tr>
        <w:trPr>
          <w:trHeight w:val="513"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SO</w:t>
            </w:r>
            <w:r>
              <w:rPr>
                <w:rFonts w:cs="Arial" w:ascii="Arial" w:hAnsi="Arial"/>
                <w:sz w:val="18"/>
                <w:szCs w:val="18"/>
                <w:vertAlign w:val="subscript"/>
              </w:rPr>
              <w:t>2</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absorpcja promieniowania IR</w:t>
            </w:r>
            <w:r>
              <w:rPr>
                <w:rFonts w:cs="Arial" w:ascii="Arial" w:hAnsi="Arial"/>
                <w:sz w:val="18"/>
                <w:szCs w:val="18"/>
                <w:vertAlign w:val="superscript"/>
              </w:rPr>
              <w:t>1)</w:t>
            </w:r>
            <w:r>
              <w:rPr>
                <w:rFonts w:cs="Arial" w:ascii="Arial" w:hAnsi="Arial"/>
                <w:sz w:val="18"/>
                <w:szCs w:val="18"/>
              </w:rPr>
              <w:t xml:space="preserve"> lub UV, lub inna metoda optyczna z uwzględnieniem normy PN-ISO 7935</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NO</w:t>
            </w:r>
            <w:r>
              <w:rPr>
                <w:rFonts w:cs="Arial" w:ascii="Arial" w:hAnsi="Arial"/>
                <w:sz w:val="18"/>
                <w:szCs w:val="18"/>
                <w:vertAlign w:val="subscript"/>
              </w:rPr>
              <w:t>x</w:t>
            </w:r>
            <w:r>
              <w:rPr>
                <w:rFonts w:cs="Arial" w:ascii="Arial" w:hAnsi="Arial"/>
                <w:sz w:val="18"/>
                <w:szCs w:val="18"/>
              </w:rPr>
              <w:t xml:space="preserve"> (w przeliczeniu na NO</w:t>
            </w:r>
            <w:r>
              <w:rPr>
                <w:rFonts w:cs="Arial" w:ascii="Arial" w:hAnsi="Arial"/>
                <w:sz w:val="18"/>
                <w:szCs w:val="18"/>
                <w:vertAlign w:val="subscript"/>
              </w:rPr>
              <w:t>2</w:t>
            </w:r>
            <w:r>
              <w:rPr>
                <w:rFonts w:cs="Arial" w:ascii="Arial" w:hAnsi="Arial"/>
                <w:sz w:val="18"/>
                <w:szCs w:val="18"/>
              </w:rPr>
              <w:t xml:space="preserve">) </w:t>
            </w:r>
            <w:r>
              <w:rPr>
                <w:rFonts w:cs="Arial" w:ascii="Arial" w:hAnsi="Arial"/>
                <w:sz w:val="18"/>
                <w:szCs w:val="18"/>
                <w:vertAlign w:val="superscript"/>
              </w:rPr>
              <w:t>2)</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chemiluminescencyjna lub absorpcja promieniowania IR</w:t>
            </w:r>
            <w:r>
              <w:rPr>
                <w:rFonts w:cs="Arial" w:ascii="Arial" w:hAnsi="Arial"/>
                <w:sz w:val="18"/>
                <w:szCs w:val="18"/>
                <w:vertAlign w:val="superscript"/>
              </w:rPr>
              <w:t>1)</w:t>
            </w:r>
            <w:r>
              <w:rPr>
                <w:rFonts w:cs="Arial" w:ascii="Arial" w:hAnsi="Arial"/>
                <w:sz w:val="18"/>
                <w:szCs w:val="18"/>
              </w:rPr>
              <w:t>, lub inna metoda optyczna z uwzględnieniem normy PN-ISO 10849</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CO</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absorpcja promieniowania IR</w:t>
            </w:r>
            <w:r>
              <w:rPr>
                <w:rFonts w:cs="Arial" w:ascii="Arial" w:hAnsi="Arial"/>
                <w:sz w:val="18"/>
                <w:szCs w:val="18"/>
                <w:vertAlign w:val="superscript"/>
              </w:rPr>
              <w:t>1)</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HCl</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absorpcja promieniowania IR</w:t>
            </w:r>
            <w:r>
              <w:rPr>
                <w:rFonts w:cs="Arial" w:ascii="Arial" w:hAnsi="Arial"/>
                <w:sz w:val="18"/>
                <w:szCs w:val="18"/>
                <w:vertAlign w:val="superscript"/>
              </w:rPr>
              <w:t>1)</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Substancje organiczne w postaci gazów i par wyrażone jako całkowity węgiel organiczny</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technika ciągłej detekcji płomieniowo-jonizacyjnej (FID)</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HF</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absorpcja promieniowania IR</w:t>
            </w:r>
            <w:r>
              <w:rPr>
                <w:rFonts w:cs="Arial" w:ascii="Arial" w:hAnsi="Arial"/>
                <w:sz w:val="18"/>
                <w:szCs w:val="18"/>
                <w:vertAlign w:val="superscript"/>
              </w:rPr>
              <w:t>1)</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8</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O</w:t>
            </w:r>
            <w:r>
              <w:rPr>
                <w:rFonts w:cs="Arial" w:ascii="Arial" w:hAnsi="Arial"/>
                <w:sz w:val="18"/>
                <w:szCs w:val="18"/>
                <w:vertAlign w:val="subscript"/>
              </w:rPr>
              <w:t>2</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paramagnetyczna, celi cyrkonowej lub inna elektrochemiczna gwarantująca niepewność pomiaru</w:t>
            </w:r>
            <w:r>
              <w:rPr>
                <w:rFonts w:cs="Arial" w:ascii="Arial" w:hAnsi="Arial"/>
                <w:sz w:val="18"/>
                <w:szCs w:val="18"/>
                <w:vertAlign w:val="superscript"/>
              </w:rPr>
              <w:t>3)</w:t>
            </w:r>
            <w:r>
              <w:rPr>
                <w:rFonts w:cs="Arial" w:ascii="Arial" w:hAnsi="Arial"/>
                <w:sz w:val="18"/>
                <w:szCs w:val="18"/>
              </w:rPr>
              <w:t xml:space="preserve"> nie większą niż ± 1,0% obj. O</w:t>
            </w:r>
            <w:r>
              <w:rPr>
                <w:rFonts w:cs="Arial" w:ascii="Arial" w:hAnsi="Arial"/>
                <w:sz w:val="18"/>
                <w:szCs w:val="18"/>
                <w:vertAlign w:val="subscript"/>
              </w:rPr>
              <w:t>2</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9</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 xml:space="preserve">Prędkość przepływu gazów odlotowych lub ciśnienie dynamiczne gazów odlotowych </w:t>
            </w:r>
            <w:r>
              <w:rPr>
                <w:rFonts w:cs="Arial" w:ascii="Arial" w:hAnsi="Arial"/>
                <w:sz w:val="18"/>
                <w:szCs w:val="18"/>
                <w:vertAlign w:val="superscript"/>
              </w:rPr>
              <w:t>4)</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m/s</w:t>
            </w:r>
          </w:p>
          <w:p>
            <w:pPr>
              <w:pStyle w:val="Normal"/>
              <w:spacing w:before="40" w:after="40"/>
              <w:ind w:hanging="0"/>
              <w:jc w:val="center"/>
              <w:rPr>
                <w:rFonts w:ascii="Arial" w:hAnsi="Arial" w:cs="Arial"/>
                <w:sz w:val="18"/>
                <w:szCs w:val="18"/>
              </w:rPr>
            </w:pPr>
            <w:r>
              <w:rPr>
                <w:rFonts w:cs="Arial" w:ascii="Arial" w:hAnsi="Arial"/>
                <w:sz w:val="18"/>
                <w:szCs w:val="18"/>
              </w:rPr>
              <w:t>Pa</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metoda dowolna gwarantująca niepewność pomiaru</w:t>
            </w:r>
            <w:r>
              <w:rPr>
                <w:rFonts w:cs="Arial" w:ascii="Arial" w:hAnsi="Arial"/>
                <w:sz w:val="18"/>
                <w:szCs w:val="18"/>
                <w:vertAlign w:val="superscript"/>
              </w:rPr>
              <w:t>3)</w:t>
            </w:r>
            <w:r>
              <w:rPr>
                <w:rFonts w:cs="Arial" w:ascii="Arial" w:hAnsi="Arial"/>
                <w:sz w:val="18"/>
                <w:szCs w:val="18"/>
              </w:rPr>
              <w:t xml:space="preserve"> mniejszą niż 10%</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Temperatura gazów odlotowych w przekroju pomiarowym</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K</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metoda dowolna gwarantująca niepewność pomiaru</w:t>
            </w:r>
            <w:r>
              <w:rPr>
                <w:rFonts w:cs="Arial" w:ascii="Arial" w:hAnsi="Arial"/>
                <w:sz w:val="18"/>
                <w:szCs w:val="18"/>
                <w:vertAlign w:val="superscript"/>
              </w:rPr>
              <w:t>3)</w:t>
            </w:r>
            <w:r>
              <w:rPr>
                <w:rFonts w:cs="Arial" w:ascii="Arial" w:hAnsi="Arial"/>
                <w:sz w:val="18"/>
                <w:szCs w:val="18"/>
              </w:rPr>
              <w:t xml:space="preserve"> nie większą niż ± 5 K</w:t>
            </w:r>
          </w:p>
        </w:tc>
      </w:tr>
      <w:tr>
        <w:trPr>
          <w:trHeight w:val="630"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11</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Ciśnienie statyczne lub bezwzględne gazów odlotowych</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Pa</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metoda dowolna gwarantująca niepewność pomiaru</w:t>
            </w:r>
            <w:r>
              <w:rPr>
                <w:rFonts w:cs="Arial" w:ascii="Arial" w:hAnsi="Arial"/>
                <w:sz w:val="18"/>
                <w:szCs w:val="18"/>
                <w:vertAlign w:val="superscript"/>
              </w:rPr>
              <w:t>3)</w:t>
            </w:r>
            <w:r>
              <w:rPr>
                <w:rFonts w:cs="Arial" w:ascii="Arial" w:hAnsi="Arial"/>
                <w:sz w:val="18"/>
                <w:szCs w:val="18"/>
              </w:rPr>
              <w:t xml:space="preserve"> nie większą niż ± 10 hPa</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12</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Wilgotność bezwzględna gazów odlotowych lub stopień zawilżenia gazów odlotowych</w:t>
            </w:r>
            <w:r>
              <w:rPr>
                <w:rFonts w:cs="Arial" w:ascii="Arial" w:hAnsi="Arial"/>
                <w:sz w:val="18"/>
                <w:szCs w:val="18"/>
                <w:vertAlign w:val="superscript"/>
              </w:rPr>
              <w:t>5)</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kg/m</w:t>
            </w:r>
            <w:r>
              <w:rPr>
                <w:rFonts w:cs="Arial" w:ascii="Arial" w:hAnsi="Arial"/>
                <w:sz w:val="18"/>
                <w:szCs w:val="18"/>
                <w:vertAlign w:val="superscript"/>
              </w:rPr>
              <w:t>3</w:t>
            </w:r>
          </w:p>
          <w:p>
            <w:pPr>
              <w:pStyle w:val="Normal"/>
              <w:spacing w:before="40" w:after="40"/>
              <w:ind w:hanging="0"/>
              <w:jc w:val="center"/>
              <w:rPr>
                <w:rFonts w:ascii="Arial" w:hAnsi="Arial" w:cs="Arial"/>
                <w:sz w:val="18"/>
                <w:szCs w:val="18"/>
              </w:rPr>
            </w:pPr>
            <w:r>
              <w:rPr>
                <w:rFonts w:cs="Arial" w:ascii="Arial" w:hAnsi="Arial"/>
                <w:sz w:val="18"/>
                <w:szCs w:val="18"/>
              </w:rPr>
              <w:t>kg</w:t>
            </w:r>
            <w:r>
              <w:rPr>
                <w:rFonts w:cs="Arial" w:ascii="Arial" w:hAnsi="Arial"/>
                <w:sz w:val="18"/>
                <w:szCs w:val="18"/>
                <w:vertAlign w:val="subscript"/>
              </w:rPr>
              <w:t>pary wodnej</w:t>
            </w:r>
            <w:r>
              <w:rPr>
                <w:rFonts w:cs="Arial" w:ascii="Arial" w:hAnsi="Arial"/>
                <w:sz w:val="18"/>
                <w:szCs w:val="18"/>
              </w:rPr>
              <w:t>/kg</w:t>
            </w:r>
            <w:r>
              <w:rPr>
                <w:rFonts w:cs="Arial" w:ascii="Arial" w:hAnsi="Arial"/>
                <w:sz w:val="18"/>
                <w:szCs w:val="18"/>
                <w:vertAlign w:val="subscript"/>
              </w:rPr>
              <w:t>gazu suchego</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metoda dowolna gwarantująca niepewność pomiaru</w:t>
            </w:r>
            <w:r>
              <w:rPr>
                <w:rFonts w:cs="Arial" w:ascii="Arial" w:hAnsi="Arial"/>
                <w:sz w:val="18"/>
                <w:szCs w:val="18"/>
                <w:vertAlign w:val="superscript"/>
              </w:rPr>
              <w:t>3)</w:t>
            </w:r>
            <w:r>
              <w:rPr>
                <w:rFonts w:cs="Arial" w:ascii="Arial" w:hAnsi="Arial"/>
                <w:sz w:val="18"/>
                <w:szCs w:val="18"/>
              </w:rPr>
              <w:t xml:space="preserve"> mniejszą niż:</w:t>
            </w:r>
          </w:p>
          <w:p>
            <w:pPr>
              <w:pStyle w:val="ListParagraph"/>
              <w:numPr>
                <w:ilvl w:val="0"/>
                <w:numId w:val="79"/>
              </w:numPr>
              <w:spacing w:before="40" w:after="40"/>
              <w:ind w:left="126" w:hanging="126"/>
              <w:contextualSpacing/>
              <w:jc w:val="left"/>
              <w:rPr>
                <w:rFonts w:ascii="Arial" w:hAnsi="Arial" w:cs="Arial"/>
                <w:sz w:val="18"/>
                <w:szCs w:val="18"/>
              </w:rPr>
            </w:pPr>
            <w:r>
              <w:rPr>
                <w:rFonts w:cs="Arial" w:ascii="Arial" w:hAnsi="Arial"/>
                <w:sz w:val="18"/>
                <w:szCs w:val="18"/>
              </w:rPr>
              <w:t>20% w przypadku wilgotności bezwzględnej gazów odlotowych,</w:t>
            </w:r>
          </w:p>
          <w:p>
            <w:pPr>
              <w:pStyle w:val="ListParagraph"/>
              <w:numPr>
                <w:ilvl w:val="0"/>
                <w:numId w:val="79"/>
              </w:numPr>
              <w:spacing w:before="40" w:after="40"/>
              <w:ind w:left="126" w:hanging="126"/>
              <w:contextualSpacing/>
              <w:jc w:val="left"/>
              <w:rPr>
                <w:rFonts w:ascii="Arial" w:hAnsi="Arial" w:cs="Arial"/>
                <w:sz w:val="18"/>
                <w:szCs w:val="18"/>
              </w:rPr>
            </w:pPr>
            <w:r>
              <w:rPr>
                <w:rFonts w:cs="Arial" w:ascii="Arial" w:hAnsi="Arial"/>
                <w:sz w:val="18"/>
                <w:szCs w:val="18"/>
              </w:rPr>
              <w:t>10% w przypadku stopnia zawilżenia gazów odlotowych</w:t>
            </w:r>
          </w:p>
        </w:tc>
      </w:tr>
    </w:tbl>
    <w:p>
      <w:pPr>
        <w:pStyle w:val="Normal"/>
        <w:spacing w:before="80" w:after="0"/>
        <w:rPr/>
      </w:pPr>
      <w:r>
        <w:rPr/>
      </w:r>
    </w:p>
    <w:p>
      <w:pPr>
        <w:pStyle w:val="Caption"/>
        <w:keepNext/>
        <w:jc w:val="left"/>
        <w:rPr/>
      </w:pPr>
      <w:r>
        <w:rPr/>
        <w:t xml:space="preserve">Tabela </w:t>
      </w:r>
      <w:r>
        <w:rPr/>
        <w:fldChar w:fldCharType="begin"/>
      </w:r>
      <w:r>
        <w:instrText> SEQ Tabela \* ARABIC </w:instrText>
      </w:r>
      <w:r>
        <w:fldChar w:fldCharType="separate"/>
      </w:r>
      <w:r>
        <w:t>59</w:t>
      </w:r>
      <w:r>
        <w:fldChar w:fldCharType="end"/>
      </w:r>
      <w:r>
        <w:rPr/>
        <w:t>.</w:t>
      </w:r>
      <w:r>
        <w:rPr>
          <w:b w:val="false"/>
        </w:rPr>
        <w:t xml:space="preserve"> Substancje mierzone w sposób okresowy oraz metodyki referencyjne wykonywania pomiarów okresowych</w:t>
      </w:r>
    </w:p>
    <w:tbl>
      <w:tblPr>
        <w:tblW w:w="9356" w:type="dxa"/>
        <w:jc w:val="left"/>
        <w:tblInd w:w="-88"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5" w:type="dxa"/>
          <w:left w:w="5" w:type="dxa"/>
          <w:bottom w:w="15" w:type="dxa"/>
          <w:right w:w="15" w:type="dxa"/>
        </w:tblCellMar>
        <w:tblLook w:firstRow="1" w:noVBand="1" w:lastRow="0" w:firstColumn="1" w:lastColumn="0" w:noHBand="0" w:val="04a0"/>
      </w:tblPr>
      <w:tblGrid>
        <w:gridCol w:w="566"/>
        <w:gridCol w:w="1985"/>
        <w:gridCol w:w="1276"/>
        <w:gridCol w:w="5528"/>
      </w:tblGrid>
      <w:tr>
        <w:trPr>
          <w:tblHeader w:val="true"/>
          <w:trHeight w:val="109" w:hRule="atLeast"/>
        </w:trPr>
        <w:tc>
          <w:tcPr>
            <w:tcW w:w="566"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D9D9" w:val="clear"/>
            <w:tcMar>
              <w:left w:w="5"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Lp.</w:t>
            </w:r>
          </w:p>
        </w:tc>
        <w:tc>
          <w:tcPr>
            <w:tcW w:w="1985" w:type="dxa"/>
            <w:tcBorders>
              <w:top w:val="single" w:sz="8" w:space="0" w:color="000001"/>
              <w:bottom w:val="single" w:sz="8" w:space="0" w:color="000001"/>
              <w:right w:val="single" w:sz="8" w:space="0" w:color="000001"/>
              <w:insideH w:val="single" w:sz="8" w:space="0" w:color="000001"/>
              <w:insideV w:val="single" w:sz="8"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Nazwa substancji - zakres</w:t>
            </w:r>
          </w:p>
        </w:tc>
        <w:tc>
          <w:tcPr>
            <w:tcW w:w="1276" w:type="dxa"/>
            <w:tcBorders>
              <w:top w:val="single" w:sz="8" w:space="0" w:color="000001"/>
              <w:bottom w:val="single" w:sz="8" w:space="0" w:color="000001"/>
              <w:right w:val="single" w:sz="8" w:space="0" w:color="000001"/>
              <w:insideH w:val="single" w:sz="8" w:space="0" w:color="000001"/>
              <w:insideV w:val="single" w:sz="8"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Jednostka miary</w:t>
            </w:r>
          </w:p>
        </w:tc>
        <w:tc>
          <w:tcPr>
            <w:tcW w:w="5528" w:type="dxa"/>
            <w:tcBorders>
              <w:top w:val="single" w:sz="8" w:space="0" w:color="000001"/>
              <w:bottom w:val="single" w:sz="8" w:space="0" w:color="000001"/>
              <w:right w:val="single" w:sz="8" w:space="0" w:color="000001"/>
              <w:insideH w:val="single" w:sz="8" w:space="0" w:color="000001"/>
              <w:insideV w:val="single" w:sz="8"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Metodyka referencyjna</w:t>
            </w:r>
          </w:p>
        </w:tc>
      </w:tr>
      <w:tr>
        <w:trPr>
          <w:trHeight w:val="73"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Pb</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50"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Cr</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Cu</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Mn</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Ni</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As</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Cd</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8</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Hg</w:t>
            </w:r>
            <w:r>
              <w:rPr>
                <w:rFonts w:cs="Arial" w:ascii="Arial" w:hAnsi="Arial"/>
                <w:sz w:val="18"/>
                <w:szCs w:val="18"/>
                <w:vertAlign w:val="superscript"/>
              </w:rPr>
              <w:t>6)</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13211 lub metoda instrumentalna zgodna z normą PN-EN 14884 rozszerzona o oznaczenie Hg w fazie stałej zgodnie z PN-EN 13211</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9</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Tl</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Sb</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11</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V</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12</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Co</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13</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Dioksyny i furany</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1948 - 1,2,3</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SO</w:t>
            </w:r>
            <w:r>
              <w:rPr>
                <w:rFonts w:cs="Arial" w:ascii="Arial" w:hAnsi="Arial"/>
                <w:sz w:val="18"/>
                <w:szCs w:val="18"/>
                <w:vertAlign w:val="subscript"/>
              </w:rPr>
              <w:t>2</w:t>
            </w:r>
            <w:r>
              <w:rPr>
                <w:rFonts w:cs="Arial" w:ascii="Arial" w:hAnsi="Arial"/>
                <w:sz w:val="18"/>
                <w:szCs w:val="18"/>
                <w:vertAlign w:val="superscript"/>
              </w:rPr>
              <w:t>7)</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absorpcja promieniowania IR</w:t>
            </w:r>
            <w:r>
              <w:rPr>
                <w:rFonts w:cs="Arial" w:ascii="Arial" w:hAnsi="Arial"/>
                <w:sz w:val="18"/>
                <w:szCs w:val="18"/>
                <w:vertAlign w:val="superscript"/>
              </w:rPr>
              <w:t>1)</w:t>
            </w:r>
            <w:r>
              <w:rPr>
                <w:rFonts w:cs="Arial" w:ascii="Arial" w:hAnsi="Arial"/>
                <w:sz w:val="18"/>
                <w:szCs w:val="18"/>
              </w:rPr>
              <w:t xml:space="preserve"> lub UV, lub inna metoda optyczna </w:t>
            </w:r>
            <w:r>
              <w:rPr>
                <w:rFonts w:cs="Arial" w:ascii="Arial" w:hAnsi="Arial"/>
                <w:sz w:val="18"/>
                <w:szCs w:val="18"/>
                <w:vertAlign w:val="superscript"/>
              </w:rPr>
              <w:t>8)</w:t>
            </w:r>
            <w:r>
              <w:rPr>
                <w:rFonts w:cs="Arial" w:ascii="Arial" w:hAnsi="Arial"/>
                <w:sz w:val="18"/>
                <w:szCs w:val="18"/>
              </w:rPr>
              <w:t>, lub inna metoda zgodna z normą PN-EN 14791</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w:t>
            </w:r>
            <w:r>
              <w:rPr>
                <w:rFonts w:cs="Arial" w:ascii="Arial" w:hAnsi="Arial"/>
                <w:sz w:val="18"/>
                <w:szCs w:val="18"/>
                <w:vertAlign w:val="subscript"/>
              </w:rPr>
              <w:t>x</w:t>
            </w:r>
            <w:r>
              <w:rPr>
                <w:rFonts w:cs="Arial" w:ascii="Arial" w:hAnsi="Arial"/>
                <w:sz w:val="18"/>
                <w:szCs w:val="18"/>
                <w:vertAlign w:val="superscript"/>
              </w:rPr>
              <w:t>2)9)</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chemiluminescencyjna lub absorpcja promieniowania IR</w:t>
            </w:r>
            <w:r>
              <w:rPr>
                <w:rFonts w:cs="Arial" w:ascii="Arial" w:hAnsi="Arial"/>
                <w:sz w:val="18"/>
                <w:szCs w:val="18"/>
                <w:vertAlign w:val="superscript"/>
              </w:rPr>
              <w:t>1)</w:t>
            </w:r>
            <w:r>
              <w:rPr>
                <w:rFonts w:cs="Arial" w:ascii="Arial" w:hAnsi="Arial"/>
                <w:sz w:val="18"/>
                <w:szCs w:val="18"/>
              </w:rPr>
              <w:t>, lub inna metoda optyczna</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16</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HCl</w:t>
            </w:r>
            <w:r>
              <w:rPr>
                <w:rFonts w:cs="Arial" w:ascii="Arial" w:hAnsi="Arial"/>
                <w:sz w:val="18"/>
                <w:szCs w:val="18"/>
                <w:vertAlign w:val="superscript"/>
              </w:rPr>
              <w:t>10)</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1911</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HF</w:t>
            </w:r>
            <w:r>
              <w:rPr>
                <w:rFonts w:cs="Arial" w:ascii="Arial" w:hAnsi="Arial"/>
                <w:sz w:val="18"/>
                <w:szCs w:val="18"/>
                <w:vertAlign w:val="superscript"/>
              </w:rPr>
              <w:t>11)</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dowolna metodyka manualna oparta na wytycznych normy ISO 15713</w:t>
            </w:r>
          </w:p>
        </w:tc>
      </w:tr>
    </w:tbl>
    <w:p>
      <w:pPr>
        <w:pStyle w:val="Normal"/>
        <w:spacing w:before="120" w:after="0"/>
        <w:ind w:hanging="0"/>
        <w:rPr>
          <w:rFonts w:ascii="Arial" w:hAnsi="Arial" w:cs="Arial"/>
          <w:i/>
          <w:i/>
          <w:sz w:val="16"/>
          <w:szCs w:val="16"/>
        </w:rPr>
      </w:pPr>
      <w:r>
        <w:rPr>
          <w:rFonts w:cs="Arial" w:ascii="Arial" w:hAnsi="Arial"/>
          <w:i/>
          <w:sz w:val="16"/>
          <w:szCs w:val="16"/>
        </w:rPr>
        <w:t>Objaśnienia:</w:t>
      </w:r>
    </w:p>
    <w:p>
      <w:pPr>
        <w:pStyle w:val="Normal"/>
        <w:spacing w:before="25" w:after="0"/>
        <w:ind w:hanging="0"/>
        <w:rPr>
          <w:rFonts w:ascii="Arial" w:hAnsi="Arial" w:cs="Arial"/>
          <w:i/>
          <w:i/>
          <w:sz w:val="16"/>
          <w:szCs w:val="16"/>
        </w:rPr>
      </w:pPr>
      <w:r>
        <w:rPr>
          <w:rFonts w:cs="Arial" w:ascii="Arial" w:hAnsi="Arial"/>
          <w:i/>
          <w:sz w:val="16"/>
          <w:szCs w:val="16"/>
          <w:vertAlign w:val="superscript"/>
        </w:rPr>
        <w:t>1)</w:t>
      </w:r>
      <w:r>
        <w:rPr>
          <w:rFonts w:cs="Arial" w:ascii="Arial" w:hAnsi="Arial"/>
          <w:i/>
          <w:sz w:val="16"/>
          <w:szCs w:val="16"/>
        </w:rPr>
        <w:t xml:space="preserve"> IR - promieniowanie podczerwone.</w:t>
      </w:r>
    </w:p>
    <w:p>
      <w:pPr>
        <w:pStyle w:val="Normal"/>
        <w:spacing w:before="25" w:after="0"/>
        <w:ind w:hanging="0"/>
        <w:rPr>
          <w:rFonts w:ascii="Arial" w:hAnsi="Arial" w:cs="Arial"/>
          <w:i/>
          <w:i/>
          <w:sz w:val="16"/>
          <w:szCs w:val="16"/>
        </w:rPr>
      </w:pPr>
      <w:r>
        <w:rPr>
          <w:rFonts w:cs="Arial" w:ascii="Arial" w:hAnsi="Arial"/>
          <w:i/>
          <w:sz w:val="16"/>
          <w:szCs w:val="16"/>
          <w:vertAlign w:val="superscript"/>
        </w:rPr>
        <w:t>2)</w:t>
      </w:r>
      <w:r>
        <w:rPr>
          <w:rFonts w:cs="Arial" w:ascii="Arial" w:hAnsi="Arial"/>
          <w:i/>
          <w:sz w:val="16"/>
          <w:szCs w:val="16"/>
        </w:rPr>
        <w:t xml:space="preserve"> NO</w:t>
      </w:r>
      <w:r>
        <w:rPr>
          <w:rFonts w:cs="Arial" w:ascii="Arial" w:hAnsi="Arial"/>
          <w:i/>
          <w:sz w:val="16"/>
          <w:szCs w:val="16"/>
          <w:vertAlign w:val="subscript"/>
        </w:rPr>
        <w:t>x</w:t>
      </w:r>
      <w:r>
        <w:rPr>
          <w:rFonts w:cs="Arial" w:ascii="Arial" w:hAnsi="Arial"/>
          <w:i/>
          <w:sz w:val="16"/>
          <w:szCs w:val="16"/>
        </w:rPr>
        <w:t xml:space="preserve"> (w przeliczeniu na NO</w:t>
      </w:r>
      <w:r>
        <w:rPr>
          <w:rFonts w:cs="Arial" w:ascii="Arial" w:hAnsi="Arial"/>
          <w:i/>
          <w:sz w:val="16"/>
          <w:szCs w:val="16"/>
          <w:vertAlign w:val="subscript"/>
        </w:rPr>
        <w:t>2</w:t>
      </w:r>
      <w:r>
        <w:rPr>
          <w:rFonts w:cs="Arial" w:ascii="Arial" w:hAnsi="Arial"/>
          <w:i/>
          <w:sz w:val="16"/>
          <w:szCs w:val="16"/>
        </w:rPr>
        <w:t>) - tlenek azotu i dwutlenek azotu w przeliczeniu na dwutlenek azotu.</w:t>
      </w:r>
    </w:p>
    <w:p>
      <w:pPr>
        <w:pStyle w:val="Normal"/>
        <w:spacing w:before="25" w:after="0"/>
        <w:ind w:hanging="0"/>
        <w:rPr>
          <w:rFonts w:ascii="Arial" w:hAnsi="Arial" w:cs="Arial"/>
          <w:i/>
          <w:i/>
          <w:sz w:val="16"/>
          <w:szCs w:val="16"/>
        </w:rPr>
      </w:pPr>
      <w:r>
        <w:rPr>
          <w:rFonts w:cs="Arial" w:ascii="Arial" w:hAnsi="Arial"/>
          <w:i/>
          <w:sz w:val="16"/>
          <w:szCs w:val="16"/>
          <w:vertAlign w:val="superscript"/>
        </w:rPr>
        <w:t>3)</w:t>
      </w:r>
      <w:r>
        <w:rPr>
          <w:rFonts w:cs="Arial" w:ascii="Arial" w:hAnsi="Arial"/>
          <w:i/>
          <w:sz w:val="16"/>
          <w:szCs w:val="16"/>
        </w:rPr>
        <w:t xml:space="preserve"> Niepewność pomiaru - niepewność rozszerzona ze współczynnikiem rozszerzenia k=2, co odpowiada przedziałowi ufności 95%.</w:t>
      </w:r>
    </w:p>
    <w:p>
      <w:pPr>
        <w:pStyle w:val="Normal"/>
        <w:spacing w:before="25" w:after="0"/>
        <w:ind w:hanging="0"/>
        <w:rPr>
          <w:rFonts w:ascii="Arial" w:hAnsi="Arial" w:cs="Arial"/>
          <w:i/>
          <w:i/>
          <w:sz w:val="16"/>
          <w:szCs w:val="16"/>
        </w:rPr>
      </w:pPr>
      <w:r>
        <w:rPr>
          <w:rFonts w:cs="Arial" w:ascii="Arial" w:hAnsi="Arial"/>
          <w:i/>
          <w:sz w:val="16"/>
          <w:szCs w:val="16"/>
          <w:vertAlign w:val="superscript"/>
        </w:rPr>
        <w:t>4)</w:t>
      </w:r>
      <w:r>
        <w:rPr>
          <w:rFonts w:cs="Arial" w:ascii="Arial" w:hAnsi="Arial"/>
          <w:i/>
          <w:sz w:val="16"/>
          <w:szCs w:val="16"/>
        </w:rPr>
        <w:t xml:space="preserve"> W przypadku braku możliwości technicznych lub metrologicznych zainstalowania urządzeń do ciągłego pomiaru prędkości przepływu gazów odlotowych lub ciśnienia dynamicznego gazów odlotowych, dopuszcza się odstępstwa od prowadzenia ciągłych pomiarów prędkości przepływu gazów odlotowych lub ciśnienia dynamicznego gazów odlotowych oraz wyznaczanie strumienia objętości gazów odlotowych metodą bilansową, gdy gwarantuje ona uzyskanie niepewności wyniku mniejszej niż 10%.</w:t>
      </w:r>
    </w:p>
    <w:p>
      <w:pPr>
        <w:pStyle w:val="Normal"/>
        <w:spacing w:before="25" w:after="0"/>
        <w:ind w:hanging="0"/>
        <w:rPr>
          <w:rFonts w:ascii="Arial" w:hAnsi="Arial" w:cs="Arial"/>
          <w:i/>
          <w:i/>
          <w:sz w:val="16"/>
          <w:szCs w:val="16"/>
        </w:rPr>
      </w:pPr>
      <w:r>
        <w:rPr>
          <w:rFonts w:cs="Arial" w:ascii="Arial" w:hAnsi="Arial"/>
          <w:i/>
          <w:sz w:val="16"/>
          <w:szCs w:val="16"/>
          <w:vertAlign w:val="superscript"/>
        </w:rPr>
        <w:t>5)</w:t>
      </w:r>
      <w:r>
        <w:rPr>
          <w:rFonts w:cs="Arial" w:ascii="Arial" w:hAnsi="Arial"/>
          <w:i/>
          <w:sz w:val="16"/>
          <w:szCs w:val="16"/>
        </w:rPr>
        <w:t xml:space="preserve"> Dopuszcza się odstępstwa od prowadzenia ciągłych pomiarów wilgotności bezwzględnej gazów odlotowych lub stopnia zawilżenia gazów odlotowych oraz ich wyznaczanie metodą bilansową, gdy gwarantuje ona uzyskanie niepewności wyniku mniejszej niż 20%.</w:t>
      </w:r>
    </w:p>
    <w:p>
      <w:pPr>
        <w:pStyle w:val="Normal"/>
        <w:spacing w:before="25" w:after="0"/>
        <w:ind w:hanging="0"/>
        <w:rPr>
          <w:rFonts w:ascii="Arial" w:hAnsi="Arial" w:cs="Arial"/>
          <w:i/>
          <w:i/>
          <w:sz w:val="16"/>
          <w:szCs w:val="16"/>
        </w:rPr>
      </w:pPr>
      <w:r>
        <w:rPr>
          <w:rFonts w:cs="Arial" w:ascii="Arial" w:hAnsi="Arial"/>
          <w:i/>
          <w:sz w:val="16"/>
          <w:szCs w:val="16"/>
          <w:vertAlign w:val="superscript"/>
        </w:rPr>
        <w:t>6)</w:t>
      </w:r>
      <w:r>
        <w:rPr>
          <w:rFonts w:cs="Arial" w:ascii="Arial" w:hAnsi="Arial"/>
          <w:i/>
          <w:sz w:val="16"/>
          <w:szCs w:val="16"/>
        </w:rPr>
        <w:t xml:space="preserve"> Hg - rtęć ogólna rozumiana jako suma zawartości rtęci w gazach odlotowych, niezależnie od formy występowania (gazowa, rozpuszczona w kropelkach, stała, zaadsorbowana na cząstkach stałych).</w:t>
      </w:r>
    </w:p>
    <w:p>
      <w:pPr>
        <w:pStyle w:val="Normal"/>
        <w:spacing w:before="25" w:after="0"/>
        <w:ind w:hanging="0"/>
        <w:rPr>
          <w:rFonts w:ascii="Arial" w:hAnsi="Arial" w:cs="Arial"/>
          <w:i/>
          <w:i/>
          <w:sz w:val="16"/>
          <w:szCs w:val="16"/>
        </w:rPr>
      </w:pPr>
      <w:r>
        <w:rPr>
          <w:rFonts w:cs="Arial" w:ascii="Arial" w:hAnsi="Arial"/>
          <w:i/>
          <w:sz w:val="16"/>
          <w:szCs w:val="16"/>
        </w:rPr>
        <w:t>7) Dotyczy przypadku, o którym mowa w § 3 ust. 3 pkt 1 niniejszego rozporządzenia.</w:t>
      </w:r>
    </w:p>
    <w:p>
      <w:pPr>
        <w:pStyle w:val="Normal"/>
        <w:spacing w:before="25" w:after="0"/>
        <w:ind w:hanging="0"/>
        <w:rPr>
          <w:rFonts w:ascii="Arial" w:hAnsi="Arial" w:cs="Arial"/>
          <w:i/>
          <w:i/>
          <w:sz w:val="16"/>
          <w:szCs w:val="16"/>
        </w:rPr>
      </w:pPr>
      <w:r>
        <w:rPr>
          <w:rFonts w:cs="Arial" w:ascii="Arial" w:hAnsi="Arial"/>
          <w:i/>
          <w:sz w:val="16"/>
          <w:szCs w:val="16"/>
        </w:rPr>
        <w:t>8) Metody optyczne pomiaru SO</w:t>
      </w:r>
      <w:r>
        <w:rPr>
          <w:rFonts w:cs="Arial" w:ascii="Arial" w:hAnsi="Arial"/>
          <w:i/>
          <w:sz w:val="16"/>
          <w:szCs w:val="16"/>
          <w:vertAlign w:val="subscript"/>
        </w:rPr>
        <w:t>2</w:t>
      </w:r>
      <w:r>
        <w:rPr>
          <w:rFonts w:cs="Arial" w:ascii="Arial" w:hAnsi="Arial"/>
          <w:i/>
          <w:sz w:val="16"/>
          <w:szCs w:val="16"/>
        </w:rPr>
        <w:t xml:space="preserve"> obejmują metodę fluorescencyjną w obszarze ultrafioletu.</w:t>
      </w:r>
    </w:p>
    <w:p>
      <w:pPr>
        <w:pStyle w:val="Normal"/>
        <w:spacing w:before="25" w:after="0"/>
        <w:ind w:hanging="0"/>
        <w:rPr>
          <w:rFonts w:ascii="Arial" w:hAnsi="Arial" w:cs="Arial"/>
          <w:i/>
          <w:i/>
          <w:sz w:val="16"/>
          <w:szCs w:val="16"/>
        </w:rPr>
      </w:pPr>
      <w:r>
        <w:rPr>
          <w:rFonts w:cs="Arial" w:ascii="Arial" w:hAnsi="Arial"/>
          <w:i/>
          <w:sz w:val="16"/>
          <w:szCs w:val="16"/>
        </w:rPr>
        <w:t>9) Dotyczy przypadku, o którym mowa w § 3 ust. 3 pkt 3 niniejszego rozporządzenia.</w:t>
      </w:r>
    </w:p>
    <w:p>
      <w:pPr>
        <w:pStyle w:val="Normal"/>
        <w:spacing w:before="25" w:after="0"/>
        <w:ind w:hanging="0"/>
        <w:rPr>
          <w:rFonts w:ascii="Arial" w:hAnsi="Arial" w:cs="Arial"/>
          <w:i/>
          <w:i/>
          <w:sz w:val="16"/>
          <w:szCs w:val="16"/>
        </w:rPr>
      </w:pPr>
      <w:r>
        <w:rPr>
          <w:rFonts w:cs="Arial" w:ascii="Arial" w:hAnsi="Arial"/>
          <w:i/>
          <w:sz w:val="16"/>
          <w:szCs w:val="16"/>
        </w:rPr>
        <w:t>10) Dotyczy przypadku, o którym mowa w § 3 ust. 3 pkt 1 niniejszego rozporządzenia.</w:t>
      </w:r>
    </w:p>
    <w:p>
      <w:pPr>
        <w:pStyle w:val="Normal"/>
        <w:spacing w:before="25" w:after="0"/>
        <w:ind w:hanging="0"/>
        <w:rPr>
          <w:rFonts w:ascii="Arial" w:hAnsi="Arial" w:cs="Arial"/>
          <w:i/>
          <w:i/>
          <w:sz w:val="16"/>
          <w:szCs w:val="16"/>
        </w:rPr>
      </w:pPr>
      <w:r>
        <w:rPr>
          <w:rFonts w:cs="Arial" w:ascii="Arial" w:hAnsi="Arial"/>
          <w:i/>
          <w:sz w:val="16"/>
          <w:szCs w:val="16"/>
        </w:rPr>
        <w:t>11) Dotyczy przypadków, o których mowa w § 3 ust. 3 pkt 2 niniejszego rozporządzenia.</w:t>
      </w:r>
    </w:p>
    <w:p>
      <w:pPr>
        <w:pStyle w:val="Normal"/>
        <w:spacing w:lineRule="auto" w:line="360"/>
        <w:rPr/>
      </w:pPr>
      <w:r>
        <w:rPr/>
      </w:r>
    </w:p>
    <w:p>
      <w:pPr>
        <w:pStyle w:val="Normal"/>
        <w:rPr/>
      </w:pPr>
      <w:r>
        <w:rPr/>
        <w:t>Systemy do ciągłych pomiarów emisji do powietrza podlegają zgodnie z normą PN-EN 14181 pełnej procedurze kalibracji i walidacji w przypadku:</w:t>
      </w:r>
    </w:p>
    <w:p>
      <w:pPr>
        <w:pStyle w:val="Normal"/>
        <w:numPr>
          <w:ilvl w:val="0"/>
          <w:numId w:val="51"/>
        </w:numPr>
        <w:ind w:left="709" w:hanging="312"/>
        <w:rPr/>
      </w:pPr>
      <w:r>
        <w:rPr/>
        <w:t>systemów nowo instalowanych;</w:t>
      </w:r>
    </w:p>
    <w:p>
      <w:pPr>
        <w:pStyle w:val="Normal"/>
        <w:numPr>
          <w:ilvl w:val="0"/>
          <w:numId w:val="51"/>
        </w:numPr>
        <w:ind w:left="709" w:hanging="312"/>
        <w:rPr/>
      </w:pPr>
      <w:r>
        <w:rPr/>
        <w:t>systemów istniejących - co najmniej raz w ciągu trzech lat;</w:t>
      </w:r>
    </w:p>
    <w:p>
      <w:pPr>
        <w:pStyle w:val="Normal"/>
        <w:numPr>
          <w:ilvl w:val="0"/>
          <w:numId w:val="51"/>
        </w:numPr>
        <w:ind w:left="709" w:hanging="312"/>
        <w:rPr/>
      </w:pPr>
      <w:r>
        <w:rPr/>
        <w:t>każdej większej zmiany w pracy instalacji i urządzenia spalania lub współspalania odpadów i większych zmian lub napraw systemów istniejących.</w:t>
      </w:r>
    </w:p>
    <w:p>
      <w:pPr>
        <w:pStyle w:val="Normal"/>
        <w:rPr/>
      </w:pPr>
      <w:r>
        <w:rPr/>
        <w:t>Wartości średnie dobowe są wyznaczane na podstawie wartości średnich trzydziestominutowych lub dziesięciominutowych stężeń substancji zmierzonych w czasie eksploatacji instalacji i urządzenia spalania lub współspalania odpadów, z wyłączeniem okresów rozruchu i wyłączania instalacji i urządzenia spalania lub współspalania odpadów o ile w trakcie ich trwania nie są spalane odpady.</w:t>
      </w:r>
    </w:p>
    <w:p>
      <w:pPr>
        <w:pStyle w:val="Normal"/>
        <w:rPr/>
      </w:pPr>
      <w:r>
        <w:rPr/>
        <w:t>Pomiary są unieważniane w dniu, w którym więcej niż pięć średnich trzydziestominutowych wartości stężeń którejkolwiek substancji jest nieważnych z powodu niesprawności lub konserwacji systemu do ciągłych pomiarów emisji. Jeżeli w ciągu roku kalendarzowego wystąpi więcej niż 10 dni, w których pomiary zostaną unieważnione z powodu niesprawności lub konserwacji systemu do ciągłych pomiarów emisji, to prowadzący instalację lub użytkownik urządzenia podejmuje działania w celu zwiększenia niezawodności pracy tego systemu i informuje wojewódzkiego inspektora ochrony środowiska o podjętych działaniach.</w:t>
      </w:r>
    </w:p>
    <w:p>
      <w:pPr>
        <w:pStyle w:val="Normal"/>
        <w:rPr/>
      </w:pPr>
      <w:r>
        <w:rPr/>
        <w:t xml:space="preserve">Systemy ciągłych pomiarów emisji do powietrza zainstalowane na Instalacji powinny być kontrolowane za pomocą równoległych pomiarów prowadzonych przy użyciu innych systemów stosujących metodyki referencyjne (zgodnie z rozporządzeniem) co najmniej raz na trzy lata. </w:t>
      </w:r>
    </w:p>
    <w:p>
      <w:pPr>
        <w:pStyle w:val="Normal"/>
        <w:rPr/>
      </w:pPr>
      <w:r>
        <w:rPr/>
        <w:t>Zasady prowadzenia monitoringu instalacji w zakresie dotrzymywania standardów emisyjnych zostały opisane w punkcie 2.4.5 niniejszego raportu.</w:t>
      </w:r>
    </w:p>
    <w:p>
      <w:pPr>
        <w:pStyle w:val="Normal"/>
        <w:rPr/>
      </w:pPr>
      <w:r>
        <w:rPr/>
        <w:t>Zgodnie z informacjami przekazanymi przez Inwestora oraz rozpowszechnianymi w prasie lokalnej, planuje się uruchomienie na stronie internetowej miasta Żywca lub Spółki Beskid Żywiec Sp. z o.o. podstrony prezentującej na bieżąco wyniki monitoringu emisji gazów i pyłów do powietrza z planowanej instalacji.</w:t>
      </w:r>
    </w:p>
    <w:p>
      <w:pPr>
        <w:pStyle w:val="Normal"/>
        <w:rPr/>
      </w:pPr>
      <w:r>
        <w:rPr/>
        <w:t xml:space="preserve"> </w:t>
      </w:r>
    </w:p>
    <w:p>
      <w:pPr>
        <w:pStyle w:val="Nagwek3"/>
        <w:numPr>
          <w:ilvl w:val="2"/>
          <w:numId w:val="2"/>
        </w:numPr>
        <w:ind w:hanging="851"/>
        <w:rPr/>
      </w:pPr>
      <w:bookmarkStart w:id="154" w:name="_Toc518331373"/>
      <w:r>
        <w:rPr/>
        <w:t>Monitoring hałasu</w:t>
      </w:r>
      <w:bookmarkEnd w:id="154"/>
      <w:r>
        <w:rPr/>
        <w:t xml:space="preserve"> </w:t>
      </w:r>
    </w:p>
    <w:p>
      <w:pPr>
        <w:pStyle w:val="Normal"/>
        <w:rPr/>
      </w:pPr>
      <w:r>
        <w:rPr/>
        <w:t xml:space="preserve">W analizowanym przypadku nie przewiduje się prowadzenia ciągłych oraz okresowych pomiarów hałasu. </w:t>
      </w:r>
    </w:p>
    <w:p>
      <w:pPr>
        <w:pStyle w:val="Normal"/>
        <w:rPr/>
      </w:pPr>
      <w:r>
        <w:rPr/>
        <w:t xml:space="preserve">Zgodnie z rozporządzeniem Ministra Środowiska w sprawie wymagań </w:t>
      </w:r>
      <w:r>
        <w:rPr>
          <w:i/>
        </w:rPr>
        <w:t>w zakresie prowadzenia pomiarów wielkości emisji oraz pomiarów ilości pobieranej wody</w:t>
      </w:r>
      <w:r>
        <w:rPr/>
        <w:t xml:space="preserve"> okresowe pomiary hałasu w środowisku, który jest wyrażony wskaźnikami hałasu mającymi zastosowanie do ustalania i kontroli warunków korzystania ze środowiska (L</w:t>
      </w:r>
      <w:r>
        <w:rPr>
          <w:vertAlign w:val="subscript"/>
        </w:rPr>
        <w:t>Aeq D</w:t>
      </w:r>
      <w:r>
        <w:rPr/>
        <w:t xml:space="preserve"> i L</w:t>
      </w:r>
      <w:r>
        <w:rPr>
          <w:vertAlign w:val="subscript"/>
        </w:rPr>
        <w:t>Aeq N</w:t>
      </w:r>
      <w:r>
        <w:rPr/>
        <w:t xml:space="preserve">), prowadzi się dla zakładu, na terenie którego są eksploatowane instalacje lub urządzenia emitujące hałas, dla którego zostały wydane pozwolenie na emitowanie hałasu do środowiska lub decyzja o dopuszczalnym poziomie hałasu. Analiza oddziaływania akustycznego planowanego przedsięwzięcia wskazuje, że dla instalacji nie będzie konieczności wydania decyzji o dopuszczalnym poziomie hałasu. </w:t>
      </w:r>
    </w:p>
    <w:p>
      <w:pPr>
        <w:pStyle w:val="Normal"/>
        <w:rPr/>
      </w:pPr>
      <w:r>
        <w:rPr/>
        <w:t xml:space="preserve">W przypadku wystąpienia okoliczności, skutkujących koniecznością wydania decyzji o dopuszczalnym poziomie hałasu, okresowe pomiary hałasu w środowisku, w tym hałasu impulsowego, prowadzi się raz na dwa lata, z uwzględnieniem specyfiki pracy źródeł hałasu; w przypadku źródeł pracujących sezonowo pomiary hałasu przeprowadza się w tym okresie. </w:t>
      </w:r>
    </w:p>
    <w:p>
      <w:pPr>
        <w:pStyle w:val="Normal"/>
        <w:rPr/>
      </w:pPr>
      <w:r>
        <w:rPr/>
      </w:r>
    </w:p>
    <w:p>
      <w:pPr>
        <w:pStyle w:val="Nagwek3"/>
        <w:numPr>
          <w:ilvl w:val="2"/>
          <w:numId w:val="2"/>
        </w:numPr>
        <w:ind w:hanging="851"/>
        <w:rPr/>
      </w:pPr>
      <w:bookmarkStart w:id="155" w:name="_Toc518331374"/>
      <w:r>
        <w:rPr/>
        <w:t>Monitoring odpadów</w:t>
      </w:r>
      <w:bookmarkEnd w:id="155"/>
      <w:r>
        <w:rPr/>
        <w:t xml:space="preserve"> </w:t>
      </w:r>
    </w:p>
    <w:p>
      <w:pPr>
        <w:pStyle w:val="Normal"/>
        <w:rPr/>
      </w:pPr>
      <w:r>
        <w:rPr/>
        <w:t xml:space="preserve">Zgodnie z ustawą o odpadach posiadacz odpadów jest obowiązany do prowadzenia ich ilościowej i jakościowej ewidencji zgodnie z przyjętym katalogiem odpadów i listą odpadów niebezpiecznych. Ewidencja będzie prowadzona w oparciu o kartę ewidencji odpadu i kartę przekazania odpadu. Dla planowanej instalacji będzie prowadzona ewidencja ilościowa: </w:t>
      </w:r>
    </w:p>
    <w:p>
      <w:pPr>
        <w:pStyle w:val="Normal"/>
        <w:numPr>
          <w:ilvl w:val="0"/>
          <w:numId w:val="34"/>
        </w:numPr>
        <w:rPr/>
      </w:pPr>
      <w:r>
        <w:rPr/>
        <w:t>odpadów dostarczanych do instalacji,</w:t>
      </w:r>
    </w:p>
    <w:p>
      <w:pPr>
        <w:pStyle w:val="Normal"/>
        <w:numPr>
          <w:ilvl w:val="0"/>
          <w:numId w:val="34"/>
        </w:numPr>
        <w:rPr/>
      </w:pPr>
      <w:r>
        <w:rPr/>
        <w:t xml:space="preserve">odpadów skierowanych do procesu termicznego przekształcania w instalacji, </w:t>
      </w:r>
    </w:p>
    <w:p>
      <w:pPr>
        <w:pStyle w:val="Normal"/>
        <w:numPr>
          <w:ilvl w:val="0"/>
          <w:numId w:val="34"/>
        </w:numPr>
        <w:rPr/>
      </w:pPr>
      <w:r>
        <w:rPr/>
        <w:t xml:space="preserve">odpadów poprocesowych wytwarzanych w wyniku procesu termicznego przekształcania. </w:t>
      </w:r>
    </w:p>
    <w:p>
      <w:pPr>
        <w:pStyle w:val="Normal"/>
        <w:rPr/>
      </w:pPr>
      <w:r>
        <w:rPr/>
        <w:t xml:space="preserve">Ewidencja jakościowa i ilościowa odpadów w ujęciu ogólnym prowadzona będzie zgodnie z rozporządzeniem Ministra Środowiska z dnia 8 grudnia 2010 r. </w:t>
      </w:r>
      <w:r>
        <w:rPr>
          <w:i/>
        </w:rPr>
        <w:t xml:space="preserve">w sprawie wzorów dokumentów stosowanych na potrzeby ewidencji odpadów </w:t>
      </w:r>
      <w:r>
        <w:rPr/>
        <w:t xml:space="preserve">(Dz.U.10.249.1673) oraz rozporządzeniem Ministra Środowiska z dnia 8 grudnia 2010 r. </w:t>
      </w:r>
      <w:r>
        <w:rPr>
          <w:i/>
        </w:rPr>
        <w:t>w sprawie zakresu informacji oraz wzorów formularzy służących do sporządzania i przekazywania zbiorczych zestawień danych o odpadach</w:t>
      </w:r>
      <w:r>
        <w:rPr/>
        <w:t xml:space="preserve"> (Dz.U.10.249.1674). </w:t>
      </w:r>
    </w:p>
    <w:p>
      <w:pPr>
        <w:pStyle w:val="Normal"/>
        <w:rPr/>
      </w:pPr>
      <w:r>
        <w:rPr/>
        <w:t xml:space="preserve">Prowadzący Instalację będzie przekazywał Marszałkowi Województwa Śląskiego zbiorcze zestawienie danych o rodzajach i ilościach odpadów oraz o sposobach gospodarowania nimi. </w:t>
      </w:r>
    </w:p>
    <w:p>
      <w:pPr>
        <w:pStyle w:val="Normal"/>
        <w:rPr/>
      </w:pPr>
      <w:r>
        <w:rPr/>
        <w:t>W związku z uruchomieniem bazy danych o produktach i opakowaniach oraz o gospodarce odpadami (BDO), prowadzący instalację będzie zobligowany do wpisu do rejestru prowadzonego przez Marszałka Województwa Śląskiego. W najbliższej przyszłości monitoring ilościowy odpadów, w tym roczne zbiorcze sprawozdania o gospodarowaniu odpadami będzie prowadzony w systemie informatycznym BDO.</w:t>
      </w:r>
    </w:p>
    <w:p>
      <w:pPr>
        <w:pStyle w:val="Normal"/>
        <w:rPr/>
      </w:pPr>
      <w:r>
        <w:rPr/>
        <w:t xml:space="preserve">Zgodnie z art. 160 </w:t>
      </w:r>
      <w:r>
        <w:rPr>
          <w:i/>
        </w:rPr>
        <w:t>ustawy o odpadach</w:t>
      </w:r>
      <w:r>
        <w:rPr/>
        <w:t xml:space="preserve"> zarządzający spalarnią odpadów lub współspalarnią odpadów, przyjmując odpady do ich termicznego przekształcenia, jest także obowiązany do:</w:t>
      </w:r>
    </w:p>
    <w:p>
      <w:pPr>
        <w:pStyle w:val="Normal"/>
        <w:numPr>
          <w:ilvl w:val="0"/>
          <w:numId w:val="46"/>
        </w:numPr>
        <w:ind w:left="709" w:hanging="312"/>
        <w:rPr>
          <w:szCs w:val="24"/>
        </w:rPr>
      </w:pPr>
      <w:r>
        <w:rPr>
          <w:szCs w:val="24"/>
        </w:rPr>
        <w:t>ustalenia masy odpadów,</w:t>
      </w:r>
    </w:p>
    <w:p>
      <w:pPr>
        <w:pStyle w:val="Normal"/>
        <w:numPr>
          <w:ilvl w:val="0"/>
          <w:numId w:val="46"/>
        </w:numPr>
        <w:ind w:left="709" w:hanging="312"/>
        <w:rPr>
          <w:szCs w:val="24"/>
        </w:rPr>
      </w:pPr>
      <w:r>
        <w:rPr>
          <w:szCs w:val="24"/>
        </w:rPr>
        <w:t>sprawdzenia zgodności przyjmowanych odpadów z danymi zawartymi w karcie przekazania odpadów.</w:t>
      </w:r>
    </w:p>
    <w:p>
      <w:pPr>
        <w:pStyle w:val="Normal"/>
        <w:rPr/>
      </w:pPr>
      <w:r>
        <w:rPr/>
        <w:t xml:space="preserve">Powyższe oznacza konieczność ważenia każdej partii odpadów przywożonych do instalacji. Waga najazdowa zostanie zainstalowana w rejonie wjazdu na teren zakładu. </w:t>
      </w:r>
    </w:p>
    <w:p>
      <w:pPr>
        <w:pStyle w:val="Normal"/>
        <w:rPr/>
      </w:pPr>
      <w:r>
        <w:rPr/>
        <w:t>Zarządzający spalarnią odpadów lub współspalarnią odpadów, termicznie przekształcając odpady, jest także obowiązany do:</w:t>
      </w:r>
    </w:p>
    <w:p>
      <w:pPr>
        <w:pStyle w:val="Normal"/>
        <w:numPr>
          <w:ilvl w:val="0"/>
          <w:numId w:val="48"/>
        </w:numPr>
        <w:ind w:left="709" w:hanging="312"/>
        <w:rPr>
          <w:szCs w:val="24"/>
        </w:rPr>
      </w:pPr>
      <w:r>
        <w:rPr>
          <w:szCs w:val="24"/>
        </w:rPr>
        <w:t>badania fizycznych i chemicznych właściwości odpadów powstałych w wyniku termicznego przekształcania odpadów, w tym w szczególności rozpuszczalnych frakcji metali ciężkich,</w:t>
      </w:r>
    </w:p>
    <w:p>
      <w:pPr>
        <w:pStyle w:val="Normal"/>
        <w:numPr>
          <w:ilvl w:val="0"/>
          <w:numId w:val="48"/>
        </w:numPr>
        <w:ind w:left="709" w:hanging="312"/>
        <w:rPr>
          <w:szCs w:val="24"/>
        </w:rPr>
      </w:pPr>
      <w:r>
        <w:rPr>
          <w:szCs w:val="24"/>
        </w:rPr>
        <w:t>określenia bezpiecznej trasy transportu odpadów niebezpiecznych powstałych w wyniku termicznego przekształcania odpadów, jeżeli odpadów tych nie udało się poddać odzyskowi lub unieszkodliwić w miejscu ich powstania.</w:t>
      </w:r>
    </w:p>
    <w:p>
      <w:pPr>
        <w:pStyle w:val="Normal"/>
        <w:rPr/>
      </w:pPr>
      <w:r>
        <w:rPr/>
        <w:t xml:space="preserve">Powyższe oznacza, że inwestor będzie zobowiązany do prowadzenia stałego monitoringu jakości odpadów poprocesowych pod kątem zawartości metali ciężkich. </w:t>
      </w:r>
    </w:p>
    <w:p>
      <w:pPr>
        <w:pStyle w:val="Normal"/>
        <w:rPr/>
      </w:pPr>
      <w:r>
        <w:rPr/>
      </w:r>
    </w:p>
    <w:p>
      <w:pPr>
        <w:pStyle w:val="Nagwek3"/>
        <w:numPr>
          <w:ilvl w:val="2"/>
          <w:numId w:val="2"/>
        </w:numPr>
        <w:ind w:hanging="851"/>
        <w:rPr/>
      </w:pPr>
      <w:bookmarkStart w:id="156" w:name="_Toc518331375"/>
      <w:r>
        <w:rPr/>
        <w:t>Monitoring poboru wody i odprowadzanych ścieków</w:t>
      </w:r>
      <w:bookmarkEnd w:id="156"/>
      <w:r>
        <w:rPr/>
        <w:t xml:space="preserve"> </w:t>
      </w:r>
    </w:p>
    <w:p>
      <w:pPr>
        <w:pStyle w:val="Normal"/>
        <w:rPr/>
      </w:pPr>
      <w:r>
        <w:rPr/>
        <w:t xml:space="preserve">Zakład będzie zaopatrywany w wodę z sieci miejskiej. Ścieki komunalne (mieszanina ścieków bytowych i przemysłowych, która będzie powstawać w zakładzie) będą odprowadzane do sieci miejskiej. Ilość zużywanej wody oraz ilość wytwarzanych ścieków komunalnych będzie kontrolowana, zgodnie z warunkami zawartej umowy z przedsiębiorstwem wodociągów i kanalizacji. </w:t>
      </w:r>
    </w:p>
    <w:p>
      <w:pPr>
        <w:pStyle w:val="Normal"/>
        <w:rPr/>
      </w:pPr>
      <w:r>
        <w:rPr/>
        <w:t>Monitoring jakości dostarczanej wody spoczywa na jej dostawcy oraz na inspekcji sanitarnej. Monitoring jakości odprowadzanych ścieków prowadzony będzie okresowo na zasadach określonych w zawartej umowie na ich odprowadzanie do kanalizacji miejskiej.</w:t>
      </w:r>
    </w:p>
    <w:p>
      <w:pPr>
        <w:pStyle w:val="Normal"/>
        <w:rPr/>
      </w:pPr>
      <w:r>
        <w:rPr/>
        <w:t xml:space="preserve">Warunki wprowadzania ścieków przemysłowych do urządzeń kanalizacyjnych reguluje rozporządzenie Ministra Budownictwa z dnia 14 lipca 2006 r. </w:t>
      </w:r>
      <w:r>
        <w:rPr>
          <w:i/>
        </w:rPr>
        <w:t xml:space="preserve">w sprawie sposobu realizacji obowiązków dostawców ścieków przemysłowych oraz warunków wprowadzania ścieków do urządzeń kanalizacyjnych </w:t>
      </w:r>
      <w:r>
        <w:rPr/>
        <w:t xml:space="preserve">(Dz.U.2006.136.964). </w:t>
      </w:r>
    </w:p>
    <w:p>
      <w:pPr>
        <w:pStyle w:val="Normal"/>
        <w:rPr/>
      </w:pPr>
      <w:r>
        <w:rPr/>
        <w:t>Zgodnie z tym rozporządzeniem pobór próbek ścieków przemysłowych zawierających substancje szczególnie szkodliwe dla środowiska wodnego, wymienione w załączniku nr 1, a więc w przypadku, z którym mamy do czynienia, oraz pomiary stężeń tych substancji powinny być wykonywane przez dostawcę ścieków przemysłowych nie rzadziej niż raz na kwartał, w miejscu reprezentatywnym dla odprowadzanych ścieków w tym zakresie. W przypadku zanieczyszczeń wymienionych w załączniku nr 2, badanie wykonuje się dwa razy w roku.</w:t>
      </w:r>
    </w:p>
    <w:p>
      <w:pPr>
        <w:pStyle w:val="Normal"/>
        <w:rPr/>
      </w:pPr>
      <w:r>
        <w:rPr/>
        <w:t>Zgodnie z ustawą 20 lipca 2017 r. Prawo wodne w przypadku wytwarzania ścieków przemysłowych zawierających substancje szczególnie szkodliwe dla środowiska wodnego wprowadzanych do kanalizacji innego podmiotu Inwestor będzie musiał uzyskać pozwolenie wodno prawne. Na etapie uzyskiwania pozwolenia zostanie określony zakres i szczegółowe zasady prowadzenia monitoringu jakości odprowadzanych ścieków przemysłowych.</w:t>
      </w:r>
    </w:p>
    <w:p>
      <w:pPr>
        <w:pStyle w:val="Normal"/>
        <w:rPr/>
      </w:pPr>
      <w:r>
        <w:rPr/>
      </w:r>
    </w:p>
    <w:p>
      <w:pPr>
        <w:pStyle w:val="Nagwek3"/>
        <w:numPr>
          <w:ilvl w:val="2"/>
          <w:numId w:val="2"/>
        </w:numPr>
        <w:ind w:hanging="851"/>
        <w:rPr/>
      </w:pPr>
      <w:bookmarkStart w:id="157" w:name="_Toc518331376"/>
      <w:r>
        <w:rPr/>
        <w:t>Monitoring wód powierzchniowych</w:t>
      </w:r>
      <w:bookmarkEnd w:id="157"/>
      <w:r>
        <w:rPr/>
        <w:t xml:space="preserve"> </w:t>
      </w:r>
    </w:p>
    <w:p>
      <w:pPr>
        <w:pStyle w:val="Normal"/>
        <w:rPr/>
      </w:pPr>
      <w:r>
        <w:rPr/>
        <w:t>Zakład będzie korzystał z wody wodociągowej, w związku z tym nie przewiduje się prowadzenia monitoringu wód powierzchniowych w rejonie zakładu.</w:t>
      </w:r>
    </w:p>
    <w:p>
      <w:pPr>
        <w:pStyle w:val="Normal"/>
        <w:rPr/>
      </w:pPr>
      <w:r>
        <w:rPr/>
        <w:t xml:space="preserve"> </w:t>
      </w:r>
    </w:p>
    <w:p>
      <w:pPr>
        <w:pStyle w:val="Nagwek3"/>
        <w:numPr>
          <w:ilvl w:val="2"/>
          <w:numId w:val="2"/>
        </w:numPr>
        <w:ind w:hanging="851"/>
        <w:rPr/>
      </w:pPr>
      <w:bookmarkStart w:id="158" w:name="_Toc518331377"/>
      <w:r>
        <w:rPr/>
        <w:t>Monitoring gleb i wód podziemnych</w:t>
      </w:r>
      <w:bookmarkEnd w:id="158"/>
      <w:r>
        <w:rPr/>
        <w:t xml:space="preserve"> </w:t>
      </w:r>
    </w:p>
    <w:p>
      <w:pPr>
        <w:pStyle w:val="Normal"/>
        <w:rPr/>
      </w:pPr>
      <w:r>
        <w:rPr/>
        <w:t xml:space="preserve">W wyniku funkcjonowania projektowanej Instalacji nie przewiduje się odprowadzania zanieczyszczeń bezpośrednio do gruntu lub wód gruntowych, w związku z czym nie przewiduje się konieczności stosowania monitoringu w tym zakresie. </w:t>
      </w:r>
    </w:p>
    <w:p>
      <w:pPr>
        <w:pStyle w:val="Normal"/>
        <w:rPr/>
      </w:pPr>
      <w:r>
        <w:rPr/>
        <w:t xml:space="preserve">W celu określenia ewentualnych negatywnych zmian w środowisku spowodowanych działalnością projektowanej Instalacji niezbędna jest wiedza dotycząca obecnego stanu gleb i wód podziemnych. W interesie Inwestora jest sporządzenie raportu początkowego, który pozwoli określić obecny stan środowiska na tym terenie. Takie rozpoznanie pozwoli w dalszej perspektywie na jasne określenie wpływu funkcjonowania instalacji (lub jego braku) na  środowisko gruntowo – wodne. Wprawdzie działania te nie są obowiązkowe zgodnie z art. 208 ust. 2 pkt 4 </w:t>
      </w:r>
      <w:r>
        <w:rPr>
          <w:i/>
        </w:rPr>
        <w:t>ustawy Prawo ochrony środowiska</w:t>
      </w:r>
      <w:r>
        <w:rPr/>
        <w:t xml:space="preserve">, ponieważ w zakładzie nie będzie eksploatowana instalacja wymagająca pozwolenia zintegrowanego, ale ze względów bezpieczeństwa, Inwestor powinien rozważyć wykonanie badań gruntu. </w:t>
      </w:r>
    </w:p>
    <w:p>
      <w:pPr>
        <w:pStyle w:val="Normal"/>
        <w:rPr/>
      </w:pPr>
      <w:r>
        <w:rPr/>
      </w:r>
    </w:p>
    <w:p>
      <w:pPr>
        <w:pStyle w:val="Nagwek2"/>
        <w:numPr>
          <w:ilvl w:val="1"/>
          <w:numId w:val="2"/>
        </w:numPr>
        <w:ind w:hanging="578"/>
        <w:rPr/>
      </w:pPr>
      <w:bookmarkStart w:id="159" w:name="_Toc518331378"/>
      <w:r>
        <w:rPr/>
        <w:t>Etap likwidacji</w:t>
      </w:r>
      <w:bookmarkEnd w:id="159"/>
      <w:r>
        <w:rPr/>
        <w:t xml:space="preserve"> </w:t>
      </w:r>
    </w:p>
    <w:p>
      <w:pPr>
        <w:pStyle w:val="Normal"/>
        <w:rPr/>
      </w:pPr>
      <w:r>
        <w:rPr/>
        <w:t xml:space="preserve">Monitoring w fazie likwidacji zakresem będzie odpowiadał monitoringowi w fazie realizacji inwestycji. </w:t>
      </w:r>
    </w:p>
    <w:p>
      <w:pPr>
        <w:pStyle w:val="Normal"/>
        <w:rPr/>
      </w:pPr>
      <w:r>
        <w:rPr/>
        <w:t xml:space="preserve">Na etapie rozbiórki powinna być prowadzona ewidencja wytwarzanych odpadów. Prowadzenie właściwej dokumentacji wytwarzanych odpadów będzie obowiązkiem ich wytwórcy, a więc podmiotu zewnętrznego realizującego prace rozbiórkowe. </w:t>
      </w:r>
    </w:p>
    <w:p>
      <w:pPr>
        <w:pStyle w:val="Normal"/>
        <w:spacing w:lineRule="auto" w:line="360"/>
        <w:rPr/>
      </w:pPr>
      <w:r>
        <w:rPr/>
      </w:r>
    </w:p>
    <w:p>
      <w:pPr>
        <w:pStyle w:val="Nagwek1"/>
        <w:numPr>
          <w:ilvl w:val="0"/>
          <w:numId w:val="2"/>
        </w:numPr>
        <w:rPr/>
      </w:pPr>
      <w:bookmarkStart w:id="160" w:name="_Toc518331379"/>
      <w:r>
        <w:rPr/>
        <w:t>WSKAZANIE TRUDNOŚCI WYNIKAJĄCYCH Z NIEDOSTATKÓW TECHNIKI LUB LUK WE WSPÓŁCZESNEJ WIEDZY, JAKIE NAPOTKANO, OPRACOWUJĄC RAPORT</w:t>
      </w:r>
      <w:bookmarkEnd w:id="160"/>
      <w:r>
        <w:rPr/>
        <w:t xml:space="preserve"> </w:t>
      </w:r>
    </w:p>
    <w:p>
      <w:pPr>
        <w:pStyle w:val="Normal"/>
        <w:rPr/>
      </w:pPr>
      <w:r>
        <w:rPr/>
        <w:t xml:space="preserve">W ostatnich latach w Polsce wybudowano lub jest w trakcie realizacji kilka instalacji termicznego przekształcania odpadów komunalnych. Niestety instalacje te, oprócz instalacji w Warszawie, nie działają na tyle długo aby dostarczyć kompleksowych, długookresowych obserwacji dotyczących ich faktycznego oddziaływania na środowisko. </w:t>
      </w:r>
    </w:p>
    <w:p>
      <w:pPr>
        <w:pStyle w:val="Normal"/>
        <w:rPr/>
      </w:pPr>
      <w:r>
        <w:rPr/>
        <w:t>Ponadto instalacje, o których mowa powstawały lub powstają w ramach wojewódzkich planów gospodarki odpadami komunalnymi, jako istotne elementy regionalnej gospodarki odpadami o dużym znaczeniu i zasięgu. Z reguły są to instalacje wchodzące w skład kompleksowych zakładów przetwarzania i unieszkodliwiania odpadów. Na dobrą sprawę nie ma w Polsce rozwiniętego rynku małych instalacji termicznego przekształcania odpadów w postaci paliwa alternatywnego RDF lub pre-RDF. Dostawca technologii jest w posiadaniu danych referencyjnej instalacji do spalania paliwa alternatywnego o mocy użytecznej 1,2 MW, w której zastosowano analogiczną technologię. Dla tej instalacji zostały przeprowadzone wszystkie niezbędne testy, certyfikacje i badania, w tym badania emisji. Instalacja posiada pozytywne opinie w tym dotyczące spełniania najlepszej dostępnej techniki. Niestety w Polsce nie są znane podobne instalacje pracujące w warunkach przemysłowych. Dotychczas głównym odbiorcom paliwa alternatywnego są duże instalacje współspalania odpadów eksploatowane przez przemysł cementowy.</w:t>
      </w:r>
    </w:p>
    <w:p>
      <w:pPr>
        <w:pStyle w:val="Normal"/>
        <w:rPr/>
      </w:pPr>
      <w:r>
        <w:rPr/>
        <w:t>Pomimo niedostatków doświadczeń praktycznych, przy opracowywaniu niniejszego raportu wykorzystano między innymi doświadczenia z innych krajów Unii Europejskiej, gdzie powstaje coraz więcej niewielkich instalacji tego typu (m. in. w Niemczech, Austrii, Finlandii, Szwajcarii), a także materiały zebrane i publikowane w dokumentach BREF. Generalnie należy stwierdzić, że instalacje termicznego przekształcania odpadów, wykorzystujące piece rusztowe i suchy system oczyszczania spalin, są dobrze rozpoznane pod względem technologicznym. Zgodnie z dokumentami BREF, jest to jedna z częściej stosowanych technologii termicznego przekształcania odpadów.</w:t>
      </w:r>
    </w:p>
    <w:p>
      <w:pPr>
        <w:pStyle w:val="Normal"/>
        <w:rPr/>
      </w:pPr>
      <w:r>
        <w:rPr/>
        <w:t xml:space="preserve">Zaznaczyć należy, że dyrektywy UE i krajowe akty prawne narzucają wyższe wymagania niż zawarte w dokumentach BREF, które wprawdzie aktualizowane są co trzy lata, ale w głównej mierze bazują na danych z okresu powstawania tych dokumentów, czyli sprzed dwunastu lat. </w:t>
      </w:r>
    </w:p>
    <w:p>
      <w:pPr>
        <w:pStyle w:val="Normal"/>
        <w:rPr/>
      </w:pPr>
      <w:r>
        <w:rPr/>
        <w:t>Opracowany raport oddziaływania na środowisko opiera się w głównej mierze na założeniach koncepcyjnych. Na obecnym etapie inwestor dokonał wyboru partnera technologicznego, który posiada bogate doświadczenia związane z eksploatacją referencyjnej instalacji termicznego przekształcania paliwa alternatywnego o mocy użytecznej 1,2 MW. Na potrzeby niniejszego projektu instalacja zostanie przeprojektowana do zakładanej mocy użytecznej 2,5 MW. Oznacza to konieczność wykonania wszystkich elementów instalacji oraz uzupełnienia dokumentacji np. w zakresie spełniania wymagania czasu przetrzymywania spalin w temperaturze 1100°C.</w:t>
      </w:r>
    </w:p>
    <w:p>
      <w:pPr>
        <w:pStyle w:val="Normal"/>
        <w:rPr/>
      </w:pPr>
      <w:r>
        <w:rPr/>
        <w:t>W trakcie przygotowywania przedsięwzięcia zlecono także wykonanie koncepcji architektoniczno-przestrzennej umiejscowienia obiektów przedsięwzięcia w kontekście lokalnych uwarunkowań funkcjonującego zakładu przemysłowego. Udało się wykonać plan zagospodarowania przestrzennego, który będzie podstawą do dalszych prac projektowych. Uwarunkowania lokalizacji, w tym związane z koniecznością zapewnienia bezpieczeństwa procesowego oraz zapisami planu zagospodarowania przestrzennego (np. dotyczące gospodarki wodami opadowym) oznaczały konieczność rozmieszczenia obiektów budowlanych, ustalenia wielkości i kubatury budynków, rozmieszczenia obiektów technologicznych, pojemności miejsc magazynowania odpadów czy przyjęcia rozwiązań organizacyjnych np. związanych z komunikacją. Szczegóły rozwiązań technicznych m.in. np. odnośnie ewentualnego dodatkowego ekranowania urządzeń technologicznych pracujących wewnątrz budynków, urządzeń i systemów bezpieczeństwa ppoż. zostaną ustalone na etapie projektu budowlanego.</w:t>
      </w:r>
    </w:p>
    <w:p>
      <w:pPr>
        <w:pStyle w:val="Normal"/>
        <w:rPr/>
      </w:pPr>
      <w:r>
        <w:rPr/>
        <w:t xml:space="preserve">Zdaniem autorów raportu, głównie ze względu na brak na obecnym etapie szczegółowych rozwiązań technicznych instalacji o planowanej mocy użytkowej, w pierwszym roku funkcjonowania instalacji należy wykonać dodatkowo w pełnym zakresie dwa pomiary emisji, ponad ilość wynikającą z obowiązujących przepisów. </w:t>
      </w:r>
    </w:p>
    <w:p>
      <w:pPr>
        <w:pStyle w:val="Normal"/>
        <w:rPr/>
      </w:pPr>
      <w:r>
        <w:rPr/>
        <w:t>Istotnym ograniczeniem oceny planowanego przedsięwzięcia jest brak szczegółowej wiedzy na temat źródeł pochodzenia (a co za tym jakości) paliwa alternatywnego, które będzie przekształcane termicznie w instalacji. Z danych otrzymanych od Inwestora wynika, że RDF pochodzący z instalacji przetwarzania odpadów eksploatowanej przez Spółkę Beskid Żywiec cechuje duża zmienność parametrów fizykochemicznych. Na dzień dzisiejszy brakuje jakichkolwiek przesłanek świadczących o tym, że paliwo dostarczane do instalacji od innych dostawców nie będzie w podobny sposób zróżnicowane. Taka sytuacja może oznaczać, że do termicznego przetwarzania będzie trafiać paliwo o różnych właściwościach fizyko-chemicznych, co w pewnym stopniu może rzutować na prowadzenie procesu technologicznego. Jednak na podstawie badań morfologii paliw alternatywnych i doświadczeń testowego spalania różnych paliw alternatywnych w instalacji można stwierdzić, że , ale paliwo to co do zasady będzie miało zbliżony skład morfologiczny, co  w efekcie powinno dać zbliżony rodzaj i wielkość emisji gazów i pyłów do powietrza oraz ilość i jakość odpadów poprocesowych. W ocenie autorów opracowania, Inwestor powinien wprowadzić normy standaryzacyjne paliwa w tym m.in. dotyczące zawartości chloru, wilgotności i kaloryczności, które będą stanowiły obowiązkowy element specyfikacji istotnych warunków każdego zamówienia paliwa. Spółka powinna ponadto wdrożyć procedury monitorowania jakości dostarczanego paliwa, np. poprzez zlecenie zewnętrznym podmiotom prowadzenia kontroli jakościowej paliwa u dostawców oraz każdorazowe zatwierdzanie dostawy paliwa wyłącznie spełniającego założone normy standaryzacyjne. Wskazane byłoby także rozważenie uruchomienia w zakładzie głównym w Żywcu, przy ul. Kabaty 2 punktu waloryzacji paliwa alternatywnego, gdzie w razie konieczności można byłoby czasowo magazynować i ewentualnie poddawać niezbędnym działaniom na instalacji przetwarzania odpadów, paliwo, które pomimo przeprowadzenia działań operacyjnych, nie odpowiada przyjętym standardom jakościowym.</w:t>
      </w:r>
    </w:p>
    <w:p>
      <w:pPr>
        <w:pStyle w:val="Normal"/>
        <w:rPr/>
      </w:pPr>
      <w:r>
        <w:rPr/>
      </w:r>
    </w:p>
    <w:p>
      <w:pPr>
        <w:pStyle w:val="Nagwek1"/>
        <w:numPr>
          <w:ilvl w:val="0"/>
          <w:numId w:val="2"/>
        </w:numPr>
        <w:spacing w:before="120" w:after="120"/>
        <w:ind w:left="431" w:hanging="431"/>
        <w:rPr/>
      </w:pPr>
      <w:bookmarkStart w:id="161" w:name="_Toc518331380"/>
      <w:bookmarkStart w:id="162" w:name="_Toc518329727"/>
      <w:bookmarkEnd w:id="161"/>
      <w:bookmarkEnd w:id="162"/>
      <w:r>
        <w:rPr/>
        <w:t>STRESZCZENIE W JĘZYKU NIESPECJALISTYCZNYM INFORMACJI ZAWARTYCH W RAPORCIE, W ODNIESIENIU DO KAŻDEGO ELEMENTU RAPORTU</w:t>
      </w:r>
    </w:p>
    <w:p>
      <w:pPr>
        <w:pStyle w:val="Stopka"/>
        <w:spacing w:before="0" w:after="60"/>
        <w:ind w:hanging="0"/>
        <w:rPr>
          <w:b/>
          <w:b/>
          <w:u w:val="single"/>
        </w:rPr>
      </w:pPr>
      <w:r>
        <w:rPr>
          <w:b/>
          <w:u w:val="single"/>
        </w:rPr>
        <w:t>Wprowadzenie</w:t>
      </w:r>
    </w:p>
    <w:p>
      <w:pPr>
        <w:pStyle w:val="Normal"/>
        <w:rPr>
          <w:color w:val="00000A"/>
          <w:szCs w:val="24"/>
        </w:rPr>
      </w:pPr>
      <w:r>
        <w:rPr/>
        <w:t xml:space="preserve">Niniejszy raport dotyczy przedsięwzięcia polegającego na budowie ciepłowni na biomasę i paliwo alternatywne </w:t>
      </w:r>
      <w:r>
        <w:rPr>
          <w:color w:val="00000A"/>
          <w:szCs w:val="24"/>
        </w:rPr>
        <w:t xml:space="preserve">o mocy użytkowej 5 MW, zlokalizowanego w Żywcu, przy ul. Kabaty, na działce o nr ew. 1019/140 obręb 0007 Żywiec. </w:t>
      </w:r>
    </w:p>
    <w:p>
      <w:pPr>
        <w:pStyle w:val="Normal"/>
        <w:rPr>
          <w:szCs w:val="24"/>
        </w:rPr>
      </w:pPr>
      <w:r>
        <w:rPr>
          <w:color w:val="00000A"/>
          <w:szCs w:val="24"/>
        </w:rPr>
        <w:t xml:space="preserve">Przedsięwzięcie jest zaklasyfikowane jako mogące potencjalnie znacząco oddziaływać na środowisko jako </w:t>
      </w:r>
      <w:r>
        <w:rPr>
          <w:szCs w:val="24"/>
        </w:rPr>
        <w:t>instalacja związana z odzyskiem lub unieszkodliwianiem odpadów.</w:t>
      </w:r>
    </w:p>
    <w:p>
      <w:pPr>
        <w:pStyle w:val="Normal"/>
        <w:rPr>
          <w:szCs w:val="24"/>
        </w:rPr>
      </w:pPr>
      <w:r>
        <w:rPr>
          <w:szCs w:val="24"/>
        </w:rPr>
      </w:r>
    </w:p>
    <w:p>
      <w:pPr>
        <w:pStyle w:val="Stopka"/>
        <w:spacing w:before="0" w:after="60"/>
        <w:ind w:hanging="0"/>
        <w:rPr>
          <w:b/>
          <w:b/>
          <w:u w:val="single"/>
        </w:rPr>
      </w:pPr>
      <w:r>
        <w:rPr>
          <w:b/>
          <w:u w:val="single"/>
        </w:rPr>
        <w:t>Opis planowanego przedsięwzięcia</w:t>
      </w:r>
    </w:p>
    <w:p>
      <w:pPr>
        <w:pStyle w:val="Normal"/>
        <w:rPr>
          <w:szCs w:val="24"/>
        </w:rPr>
      </w:pPr>
      <w:r>
        <w:rPr>
          <w:szCs w:val="24"/>
        </w:rPr>
        <w:t>Realizacja przedsięwzięcia jest zgodna z dokumentami strategicznymi i planistycznymi oraz z miejscowym planem zagospodarowania przestrzennego.</w:t>
      </w:r>
    </w:p>
    <w:p>
      <w:pPr>
        <w:pStyle w:val="Normal"/>
        <w:rPr>
          <w:szCs w:val="24"/>
        </w:rPr>
      </w:pPr>
      <w:r>
        <w:rPr>
          <w:szCs w:val="24"/>
        </w:rPr>
        <w:t xml:space="preserve"> </w:t>
      </w:r>
      <w:r>
        <w:rPr>
          <w:szCs w:val="24"/>
        </w:rPr>
        <w:t>Przedsięwzięcie będzie się wiązało z budową budynku ciepłowni z oddzielnymi strefami funkcjonalnymi o całkowitej powierzchni zabudowy około 1832 m</w:t>
      </w:r>
      <w:r>
        <w:rPr>
          <w:szCs w:val="24"/>
          <w:vertAlign w:val="superscript"/>
        </w:rPr>
        <w:t>2</w:t>
      </w:r>
      <w:r>
        <w:rPr>
          <w:szCs w:val="24"/>
        </w:rPr>
        <w:t>, powierzchni utwardzonej około 2204 m</w:t>
      </w:r>
      <w:r>
        <w:rPr>
          <w:szCs w:val="24"/>
          <w:vertAlign w:val="superscript"/>
        </w:rPr>
        <w:t>2</w:t>
      </w:r>
      <w:r>
        <w:rPr>
          <w:szCs w:val="24"/>
        </w:rPr>
        <w:t xml:space="preserve"> i powierzchni biologicznie czynnej około 712 m</w:t>
      </w:r>
      <w:r>
        <w:rPr>
          <w:szCs w:val="24"/>
          <w:vertAlign w:val="superscript"/>
        </w:rPr>
        <w:t>2</w:t>
      </w:r>
      <w:r>
        <w:rPr>
          <w:szCs w:val="24"/>
        </w:rPr>
        <w:t>.</w:t>
      </w:r>
    </w:p>
    <w:p>
      <w:pPr>
        <w:pStyle w:val="Normal"/>
        <w:spacing w:before="120" w:after="0"/>
        <w:rPr>
          <w:szCs w:val="24"/>
        </w:rPr>
      </w:pPr>
      <w:r>
        <w:rPr>
          <w:szCs w:val="24"/>
        </w:rPr>
        <w:t xml:space="preserve">Teren na którym planowana jest realizacja inwestycji jest położony w zachodniej części Żywca, w dzielnicy o charakterze mieszkalno-przemysłowym. Teren przewidziany pod realizację planowanego przedsięwzięcia jest całkowicie zagospodarowany przemysłowo. Na terenie znajduje się nieużytkowany budynek kotłowni, stalowy komin o wysokości około 20 m oraz budynek gospodarczy. Istniejące budynki i obiekty budowlane zostaną usunięte. </w:t>
      </w:r>
    </w:p>
    <w:p>
      <w:pPr>
        <w:pStyle w:val="Normal"/>
        <w:rPr>
          <w:szCs w:val="24"/>
        </w:rPr>
      </w:pPr>
      <w:r>
        <w:rPr>
          <w:szCs w:val="24"/>
        </w:rPr>
        <w:t xml:space="preserve">Najbliższa zabudowa mieszkaniowa zlokalizowana jest od planowanego zakładu </w:t>
        <w:br/>
        <w:t>w odległości około 260 m w kierunku wschodnim.</w:t>
      </w:r>
    </w:p>
    <w:p>
      <w:pPr>
        <w:pStyle w:val="Normal"/>
        <w:rPr>
          <w:szCs w:val="24"/>
        </w:rPr>
      </w:pPr>
      <w:r>
        <w:rPr>
          <w:szCs w:val="24"/>
        </w:rPr>
        <w:t xml:space="preserve">Planowana instalacja oparta zostanie na nowoczesnej, technicznie dojrzałej technologii spalania odpadów w piecu z paleniskiem rusztowym. Do termicznego przekształcania kierowane będą odpady w postaci paliwa alternatywnego RDF oraz biomasa. Odpady będą bezpośrednio kierowane do leja zasypowego pieca. Nie przewiduje się magazynowania paliwa na terenie zakładu. Proces termicznego przekształcania odpadów przebiegać będzie autotermicznie, to znaczy, że nie będzie wymagać on ciągłego wspomagania przy użyciu konwencjonalnego paliwa, a sam proces będzie źródłem energii, zamienianej dalej na energię cieplną. </w:t>
      </w:r>
    </w:p>
    <w:p>
      <w:pPr>
        <w:pStyle w:val="Normal"/>
        <w:rPr>
          <w:szCs w:val="24"/>
        </w:rPr>
      </w:pPr>
      <w:r>
        <w:rPr>
          <w:szCs w:val="24"/>
        </w:rPr>
        <w:t xml:space="preserve">Integralną częścią instalacji będzie efektywny kilkustopniowy system oczyszczania spalin, gwarantujący emisję zanieczyszczeń znacznie poniżej dopuszczalnych norm emisyjnych. Dodatkowo proces termicznego przekształcania odpadów będzie tak prowadzony, aby w jego trakcie powstawało jak najmniej zanieczyszczeń. </w:t>
      </w:r>
    </w:p>
    <w:p>
      <w:pPr>
        <w:pStyle w:val="Normal"/>
        <w:rPr>
          <w:szCs w:val="24"/>
        </w:rPr>
      </w:pPr>
      <w:r>
        <w:rPr>
          <w:szCs w:val="24"/>
        </w:rPr>
        <w:t xml:space="preserve">Odpady poprocesowe z procesu termicznego przekształcania, takie jak popioły oraz odpady pozostające po procesie oczyszczania spalin, będą magazynowane w zamkniętych pomieszczeniach. W przypadku żużli i popiołów paleniskowych, które nie są odpadem niebezpiecznym, odpady te będą zagospodarowywane w ramach systemu gospodarki odpadami prowadzonego przez spółkę Beskid Żywiec Sp. z o.o. lub przekazywane uprawnionym podmiotom zewnętrznym. Odpady z oczyszczania spalin, jako odpady niebezpieczne, będą przekazywane do unieszkodliwienia podmiotom prowadzącym odpowiednie instalacje, wybranym w drodze szczegółowej procedury uwzględniającej możliwości techniczne </w:t>
        <w:br/>
        <w:t>i bezpieczeństwo dla zdrowia ludzi i dla środowiska oraz posiadane decyzje formalno-prawne.</w:t>
      </w:r>
    </w:p>
    <w:p>
      <w:pPr>
        <w:pStyle w:val="Normal"/>
        <w:rPr>
          <w:szCs w:val="24"/>
        </w:rPr>
      </w:pPr>
      <w:r>
        <w:rPr>
          <w:szCs w:val="24"/>
        </w:rPr>
        <w:t>Instalacja składać się będzie z dwóch jednakowych, równolegle pracujących linii technologicznych po 2,5 MW mocy użytecznej każda.</w:t>
      </w:r>
    </w:p>
    <w:p>
      <w:pPr>
        <w:pStyle w:val="Normal"/>
        <w:rPr>
          <w:szCs w:val="24"/>
        </w:rPr>
      </w:pPr>
      <w:r>
        <w:rPr>
          <w:szCs w:val="24"/>
        </w:rPr>
        <w:t xml:space="preserve">W skład każdej linii technologicznej wchodzą następujące główne zespoły urządzeń </w:t>
        <w:br/>
        <w:t xml:space="preserve">i urządzenia: </w:t>
      </w:r>
    </w:p>
    <w:p>
      <w:pPr>
        <w:pStyle w:val="Normal"/>
        <w:rPr>
          <w:szCs w:val="24"/>
        </w:rPr>
      </w:pPr>
      <w:r>
        <w:rPr>
          <w:szCs w:val="24"/>
        </w:rPr>
        <w:t>1)</w:t>
        <w:tab/>
        <w:t>system podawania paliwa,</w:t>
      </w:r>
    </w:p>
    <w:p>
      <w:pPr>
        <w:pStyle w:val="Normal"/>
        <w:rPr>
          <w:szCs w:val="24"/>
        </w:rPr>
      </w:pPr>
      <w:r>
        <w:rPr>
          <w:szCs w:val="24"/>
        </w:rPr>
        <w:t>2)</w:t>
        <w:tab/>
        <w:t>piec rusztowy,</w:t>
      </w:r>
    </w:p>
    <w:p>
      <w:pPr>
        <w:pStyle w:val="Normal"/>
        <w:rPr>
          <w:szCs w:val="24"/>
        </w:rPr>
      </w:pPr>
      <w:r>
        <w:rPr>
          <w:szCs w:val="24"/>
        </w:rPr>
        <w:t>3)</w:t>
        <w:tab/>
        <w:t>emitor awaryjny,</w:t>
      </w:r>
    </w:p>
    <w:p>
      <w:pPr>
        <w:pStyle w:val="Normal"/>
        <w:rPr>
          <w:szCs w:val="24"/>
        </w:rPr>
      </w:pPr>
      <w:r>
        <w:rPr>
          <w:szCs w:val="24"/>
        </w:rPr>
        <w:t>4)</w:t>
        <w:tab/>
        <w:t>system wygarniania popiołu,</w:t>
      </w:r>
    </w:p>
    <w:p>
      <w:pPr>
        <w:pStyle w:val="Normal"/>
        <w:rPr>
          <w:szCs w:val="24"/>
        </w:rPr>
      </w:pPr>
      <w:r>
        <w:rPr>
          <w:szCs w:val="24"/>
        </w:rPr>
        <w:t>5)</w:t>
        <w:tab/>
        <w:t>kocioł odzysknicowy,</w:t>
      </w:r>
    </w:p>
    <w:p>
      <w:pPr>
        <w:pStyle w:val="Normal"/>
        <w:rPr>
          <w:szCs w:val="24"/>
        </w:rPr>
      </w:pPr>
      <w:r>
        <w:rPr>
          <w:szCs w:val="24"/>
        </w:rPr>
        <w:t>6)</w:t>
        <w:tab/>
        <w:t>system dozowania sorbentów,</w:t>
      </w:r>
    </w:p>
    <w:p>
      <w:pPr>
        <w:pStyle w:val="Normal"/>
        <w:rPr>
          <w:szCs w:val="24"/>
        </w:rPr>
      </w:pPr>
      <w:r>
        <w:rPr>
          <w:szCs w:val="24"/>
        </w:rPr>
        <w:t>7)</w:t>
        <w:tab/>
        <w:t>filtry workowe,</w:t>
      </w:r>
    </w:p>
    <w:p>
      <w:pPr>
        <w:pStyle w:val="Normal"/>
        <w:rPr>
          <w:szCs w:val="24"/>
        </w:rPr>
      </w:pPr>
      <w:r>
        <w:rPr>
          <w:szCs w:val="24"/>
        </w:rPr>
        <w:t>8)</w:t>
        <w:tab/>
        <w:t>wentylator wyciągowy,</w:t>
      </w:r>
    </w:p>
    <w:p>
      <w:pPr>
        <w:pStyle w:val="Normal"/>
        <w:rPr>
          <w:szCs w:val="24"/>
        </w:rPr>
      </w:pPr>
      <w:r>
        <w:rPr>
          <w:szCs w:val="24"/>
        </w:rPr>
        <w:t>9)</w:t>
        <w:tab/>
        <w:t>emitor.</w:t>
      </w:r>
    </w:p>
    <w:p>
      <w:pPr>
        <w:pStyle w:val="Normal"/>
        <w:rPr/>
      </w:pPr>
      <w:r>
        <w:rPr/>
        <w:t>Instalacja będzie zużywała 12300 Mg paliwa na rok, produkując 147600 GJ energii cieplnej rocznie. Czas pracy wyniesie 8200 h na rok. Roczne zużycie wody wyniesie 1104 m</w:t>
      </w:r>
      <w:r>
        <w:rPr>
          <w:vertAlign w:val="superscript"/>
        </w:rPr>
        <w:t>3</w:t>
      </w:r>
      <w:r>
        <w:rPr/>
        <w:t>.</w:t>
      </w:r>
    </w:p>
    <w:p>
      <w:pPr>
        <w:pStyle w:val="Normal"/>
        <w:rPr/>
      </w:pPr>
      <w:r>
        <w:rPr/>
      </w:r>
    </w:p>
    <w:p>
      <w:pPr>
        <w:pStyle w:val="Stopka"/>
        <w:spacing w:before="0" w:after="60"/>
        <w:ind w:hanging="0"/>
        <w:rPr>
          <w:b/>
          <w:b/>
          <w:u w:val="single"/>
        </w:rPr>
      </w:pPr>
      <w:r>
        <w:rPr>
          <w:b/>
          <w:u w:val="single"/>
        </w:rPr>
        <w:t>Ryzyko wystąpienia poważnych awarii</w:t>
      </w:r>
    </w:p>
    <w:p>
      <w:pPr>
        <w:pStyle w:val="Normal"/>
        <w:rPr>
          <w:szCs w:val="24"/>
        </w:rPr>
      </w:pPr>
      <w:r>
        <w:rPr>
          <w:szCs w:val="24"/>
        </w:rPr>
        <w:t>Zakład nie będzie zaliczony do zakładu o dużym ryzyku lub zakładu o zwiększonym ryzyku wystąpienia poważnej awarii przemysłowej.</w:t>
      </w:r>
    </w:p>
    <w:p>
      <w:pPr>
        <w:pStyle w:val="Normal"/>
        <w:rPr>
          <w:szCs w:val="24"/>
          <w:highlight w:val="yellow"/>
        </w:rPr>
      </w:pPr>
      <w:r>
        <w:rPr>
          <w:szCs w:val="24"/>
        </w:rPr>
        <w:t xml:space="preserve">Planowane rozwiązania techniczne oraz środki bezpieczeństwa techniczne i organizacyjno-proceduralne spowodują obniżenia poziomu ryzyka wystąpienia zdarzeń awaryjnych i awarii do akceptowalnego i tolerowalnego poziomu ryzyka (niskie prawdopodobieństwo wystąpienia awarii przy braku długotrwałych, negatywnych skutków dla zdrowia i życia ludzi oraz środowiska i mienia zakładu). </w:t>
      </w:r>
    </w:p>
    <w:p>
      <w:pPr>
        <w:pStyle w:val="Normal"/>
        <w:rPr/>
      </w:pPr>
      <w:r>
        <w:rPr/>
      </w:r>
    </w:p>
    <w:p>
      <w:pPr>
        <w:pStyle w:val="Stopka"/>
        <w:spacing w:before="0" w:after="60"/>
        <w:ind w:hanging="0"/>
        <w:rPr>
          <w:b/>
          <w:b/>
          <w:u w:val="single"/>
        </w:rPr>
      </w:pPr>
      <w:r>
        <w:rPr>
          <w:b/>
          <w:u w:val="single"/>
        </w:rPr>
        <w:t>Charakterystyka środowiska przyrodniczego</w:t>
      </w:r>
    </w:p>
    <w:p>
      <w:pPr>
        <w:pStyle w:val="Normal"/>
        <w:rPr/>
      </w:pPr>
      <w:r>
        <w:rPr/>
        <w:t xml:space="preserve">Inwestycja będzie </w:t>
      </w:r>
      <w:r>
        <w:rPr>
          <w:szCs w:val="24"/>
        </w:rPr>
        <w:t>realizowana</w:t>
      </w:r>
      <w:r>
        <w:rPr/>
        <w:t xml:space="preserve"> na terenie przemysłowym z roślinnością ruderalną. Teren jest zniwelowany, bez wyraźnych spadków. </w:t>
      </w:r>
    </w:p>
    <w:p>
      <w:pPr>
        <w:pStyle w:val="Normal"/>
        <w:rPr/>
      </w:pPr>
      <w:r>
        <w:rPr/>
        <w:t>W podłożu występują utwory iłowe pylaste oraz nasypy antropogeniczne.</w:t>
      </w:r>
    </w:p>
    <w:p>
      <w:pPr>
        <w:pStyle w:val="Normal"/>
        <w:rPr/>
      </w:pPr>
      <w:r>
        <w:rPr/>
        <w:t>Teren jest stosunkowo dobrze przewietrzany, choć okresowo mogą występować warunki do stagnowania powietrza.</w:t>
      </w:r>
    </w:p>
    <w:p>
      <w:pPr>
        <w:pStyle w:val="Normal"/>
        <w:rPr/>
      </w:pPr>
      <w:r>
        <w:rPr/>
        <w:t xml:space="preserve">Przedsięwzięcie położone jest poza terenami zagrożonymi powodzią. </w:t>
      </w:r>
    </w:p>
    <w:p>
      <w:pPr>
        <w:pStyle w:val="Normal"/>
        <w:rPr/>
      </w:pPr>
      <w:r>
        <w:rPr/>
        <w:t>Tren ten znajduje się w planowanej strefie ochronnej Lokalnego Zbiornika Wód Podziemnych, poza strefami ochronnymi ujęć wód.</w:t>
      </w:r>
    </w:p>
    <w:p>
      <w:pPr>
        <w:pStyle w:val="Normal"/>
        <w:rPr/>
      </w:pPr>
      <w:r>
        <w:rPr/>
        <w:t>W bliskim sąsiedztwie nie występują tereny chronione przyrodniczo.</w:t>
      </w:r>
    </w:p>
    <w:p>
      <w:pPr>
        <w:pStyle w:val="Normal"/>
        <w:rPr/>
      </w:pPr>
      <w:r>
        <w:rPr/>
        <w:t xml:space="preserve"> </w:t>
      </w:r>
    </w:p>
    <w:p>
      <w:pPr>
        <w:pStyle w:val="Stopka"/>
        <w:spacing w:before="0" w:after="60"/>
        <w:ind w:hanging="0"/>
        <w:rPr>
          <w:b/>
          <w:b/>
          <w:u w:val="single"/>
        </w:rPr>
      </w:pPr>
      <w:r>
        <w:rPr>
          <w:b/>
          <w:u w:val="single"/>
        </w:rPr>
        <w:t>Warianty realizacji przedsięwzięcia</w:t>
      </w:r>
    </w:p>
    <w:p>
      <w:pPr>
        <w:pStyle w:val="Normal"/>
        <w:rPr>
          <w:szCs w:val="24"/>
        </w:rPr>
      </w:pPr>
      <w:r>
        <w:rPr/>
        <w:t>Wariant „zerowy”, a więc bez realizacji przedsięwzięcia spowoduje, że planowana produkcja ciepła będzie realizowana ze spalania paliw kopalnych, w tym głównie węgla oraz oleju opałowego. B</w:t>
      </w:r>
      <w:r>
        <w:rPr>
          <w:szCs w:val="24"/>
        </w:rPr>
        <w:t>ędzie on także oznaczał niemożność wykorzystania energetycznego znaczącej ilości biomasy oraz paliwa alternatywnego. Działanie takie będzie jednoznaczne z rezygnacją z budową na tym terenie wysokosprawnego, nowoczesnego i czystego źródła  energii cieplnej.</w:t>
      </w:r>
    </w:p>
    <w:p>
      <w:pPr>
        <w:pStyle w:val="Normal"/>
        <w:rPr>
          <w:szCs w:val="24"/>
        </w:rPr>
      </w:pPr>
      <w:r>
        <w:rPr>
          <w:szCs w:val="24"/>
        </w:rPr>
        <w:t>W ramach rozpatrywania wariantów realizacji przedsięwzięcia rozpatrzone zostały dwa powszechnie stosowane warianty technologii rusztowej. Tego typu instalacje są najczęściej stosowane w instalacjach termicznego przekształcania odpadów paliwa alternatywnego, ale także odpadów komunalnych:</w:t>
      </w:r>
    </w:p>
    <w:p>
      <w:pPr>
        <w:pStyle w:val="Normal"/>
        <w:numPr>
          <w:ilvl w:val="0"/>
          <w:numId w:val="34"/>
        </w:numPr>
        <w:rPr/>
      </w:pPr>
      <w:r>
        <w:rPr/>
        <w:t xml:space="preserve">Wariant 1 - budowa Zakładu opartego o technologię rusztową z półsuchym systemem oczyszczania spalin (wariant proponowany przez Wnioskodawcę). </w:t>
      </w:r>
    </w:p>
    <w:p>
      <w:pPr>
        <w:pStyle w:val="Normal"/>
        <w:numPr>
          <w:ilvl w:val="0"/>
          <w:numId w:val="34"/>
        </w:numPr>
        <w:rPr/>
      </w:pPr>
      <w:r>
        <w:rPr/>
        <w:t>Wariant 2 - budowa Zakładu opartego o technologię rusztową z mokrym lub mieszanym systemem oczyszczania spalin (wariant alternatywny).</w:t>
      </w:r>
    </w:p>
    <w:p>
      <w:pPr>
        <w:pStyle w:val="Normal"/>
        <w:rPr/>
      </w:pPr>
      <w:r>
        <w:rPr/>
        <w:t>W celu wyboru właściwego wariantu przeprowadzono waloryzację, w której wyższą ocenę łączną uzyskał wariant proponowany przez Inwestora, czyli budowa instalacji termicznego przekształcania odpadów z wykorzystaniem suchego systemu oczyszczania spalin. Wariant ten został najwyżej oceniony pod względem środowiskowym. Uzyskał także znacznie lepszy wynik w przypadku kryterium ekonomicznego.</w:t>
      </w:r>
    </w:p>
    <w:p>
      <w:pPr>
        <w:pStyle w:val="Normal"/>
        <w:rPr/>
      </w:pPr>
      <w:r>
        <w:rPr/>
      </w:r>
    </w:p>
    <w:p>
      <w:pPr>
        <w:pStyle w:val="Stopka"/>
        <w:spacing w:before="0" w:after="60"/>
        <w:ind w:hanging="0"/>
        <w:rPr>
          <w:b/>
          <w:b/>
          <w:u w:val="single"/>
        </w:rPr>
      </w:pPr>
      <w:r>
        <w:rPr>
          <w:b/>
          <w:u w:val="single"/>
        </w:rPr>
        <w:t>Oddziaływanie przedsięwzięcia</w:t>
      </w:r>
    </w:p>
    <w:p>
      <w:pPr>
        <w:pStyle w:val="Normal"/>
        <w:rPr/>
      </w:pPr>
      <w:r>
        <w:rPr/>
        <w:t>Ze względu na niewielką skalę oraz odpowiednią organizację prac oddziaływanie w fazie realizacji przedsięwzięcia będzie niewielkie i ograniczone do miejsca prowadzenia inwestycji.</w:t>
      </w:r>
    </w:p>
    <w:p>
      <w:pPr>
        <w:pStyle w:val="Normal"/>
        <w:rPr/>
      </w:pPr>
      <w:r>
        <w:rPr/>
        <w:t>Podczas eksploatacji instalacja będzie oddziaływać na wszystkie komponenty środowiska. Ze względu na wprowadzanie gazów i pyłów do powietrza ze spalania paliw, największe oddziaływanie będzie na powietrze atmosferyczne. Dzięki zastosowaniu nowoczesnych metod oczyszczania spalin wielkość emisji do powietrza będzie znacznie niższa niż dopuszczalne normy i nie będzie powodować zagrożenia dla zdrowia ludzi i dla środowiska.</w:t>
      </w:r>
    </w:p>
    <w:p>
      <w:pPr>
        <w:pStyle w:val="Normal"/>
        <w:rPr/>
      </w:pPr>
      <w:r>
        <w:rPr/>
        <w:t>Drugim istotnym oddziaływaniem będzie wytwarzanie odpadów, w tym głównie odpadów paleniskowych nie będących odpadami niebezpiecznymi oraz odpadów niebezpiecznych z oczyszczania spalin. Odpady będą magazynowane w sposób całkowicie eliminujący ich oddziaływanie na środowisko na terenie zakładu a następnie będą przekazywane odbiorcom posiadającym odpowiednie decyzje administracyjne i możliwości techniczne ich zagospodarowania lub unieszkodliwienia. Działanie te spowodują, że gospodarka odpadami nie będzie stanowić zagrożenia.</w:t>
      </w:r>
    </w:p>
    <w:p>
      <w:pPr>
        <w:pStyle w:val="Normal"/>
        <w:rPr/>
      </w:pPr>
      <w:r>
        <w:rPr/>
        <w:t>Woda będzie dostarczana z sieci miejskiej. Ścieki socjalne i przemysłowe, powstające w niewielkich ilościach, będą odprowadzane do kanalizacji miejskiej. Wody opadowe z terenu utwardzonego będą podczyszczane w separatorze a następnie, razem z nadmiarem wód z dachów, będą także odprowadzane do kanalizacji miejskiej. Przed wylotem zostanie zamontowana zasuwa w celu zapobieżenia odprowadzania wód opadowych, które mogłyby zostać zanieczyszczone podczas działań ratowniczo-gaśniczych lub w inny sposób.</w:t>
      </w:r>
    </w:p>
    <w:p>
      <w:pPr>
        <w:pStyle w:val="Normal"/>
        <w:rPr/>
      </w:pPr>
      <w:r>
        <w:rPr/>
        <w:t>Oddziaływanie spowodowane nadmiernym hałasem będzie ograniczone do pracy urządzeń technicznych oraz pojazdów poruszających się po terenie. Ze względu na niewielką skalę przedsięwzięcia, jego usytuowanie oraz zastosowane urządzenia oddziaływanie hałasowe nie będzie źródłem uciążliwości dla okolicznych mieszkańców.</w:t>
      </w:r>
    </w:p>
    <w:p>
      <w:pPr>
        <w:pStyle w:val="Normal"/>
        <w:rPr/>
      </w:pPr>
      <w:r>
        <w:rPr/>
        <w:t>Organizacja pracy zakładu, brak magazynowania odpadów paliwa, odpowiednie magazynowanie odpadów poprodukcyjnych oraz substancji niebezpiecznych takich jak olej opałowy, a także właściwe utwardzenie i zabezpieczenie powierzchni zakładu są czynnikami zapobiegającymi ewentualnemu zanieczyszczeniu środowiska gruntowego.</w:t>
      </w:r>
    </w:p>
    <w:p>
      <w:pPr>
        <w:pStyle w:val="Normal"/>
        <w:rPr/>
      </w:pPr>
      <w:r>
        <w:rPr/>
        <w:t>Budowa zakładu niewątpliwie będzie miała niekorzystny wpływ na gleby, jednak będzie to wpływ ograniczony wyłącznie do jego terenu i ma odwracalny charakter.</w:t>
      </w:r>
    </w:p>
    <w:p>
      <w:pPr>
        <w:pStyle w:val="Normal"/>
        <w:rPr/>
      </w:pPr>
      <w:r>
        <w:rPr/>
        <w:t>Ze względu na lokalizację przedsięwzięcia na terenie przemysłowym, w sąsiedztwie innych obiektów przemysłowych, jego obecność, w tym dwa kominy o wysokości 20 m, nie będą stanowić obiektów obcych, dominujących w krajobrazie. Swoimi gabarytami będą zbliżone do obecnie występujących na tym terenie obiektów.</w:t>
      </w:r>
    </w:p>
    <w:p>
      <w:pPr>
        <w:pStyle w:val="Normal"/>
        <w:rPr/>
      </w:pPr>
      <w:r>
        <w:rPr/>
        <w:t>Oddziaływanie na etapie likwidacji przedsięwzięcia będzie zbliżone do tego w fazie realizacji, a więc będzie niewielkie, lokalne i nie będzie stwarzać uciążliwości dla okolicznych mieszkańców ani zagrożenia dla środowiska.</w:t>
      </w:r>
    </w:p>
    <w:p>
      <w:pPr>
        <w:pStyle w:val="Normal"/>
        <w:rPr/>
      </w:pPr>
      <w:r>
        <w:rPr/>
      </w:r>
    </w:p>
    <w:p>
      <w:pPr>
        <w:pStyle w:val="Stopka"/>
        <w:spacing w:before="0" w:after="60"/>
        <w:ind w:hanging="0"/>
        <w:rPr>
          <w:b/>
          <w:b/>
          <w:u w:val="single"/>
        </w:rPr>
      </w:pPr>
      <w:r>
        <w:rPr>
          <w:b/>
          <w:u w:val="single"/>
        </w:rPr>
        <w:t>Spełnienie wymagań artykułu 143 i wymagań BAT</w:t>
      </w:r>
    </w:p>
    <w:p>
      <w:pPr>
        <w:pStyle w:val="Normal"/>
        <w:rPr/>
      </w:pPr>
      <w:r>
        <w:rPr/>
        <w:t>Omawiane przedsięwzięcie będzie nowoczesną instalacją spełniającą wszystkie wymogi stawiane nowo projektowanym instalacjom pod kątem wykorzystania zasobów czy produkcji odpadów, a także będzie spełniało wymagania najlepszej dostępnej techniki i technologii spalania odpadów.</w:t>
      </w:r>
    </w:p>
    <w:p>
      <w:pPr>
        <w:pStyle w:val="Normal"/>
        <w:rPr/>
      </w:pPr>
      <w:r>
        <w:rPr/>
      </w:r>
    </w:p>
    <w:p>
      <w:pPr>
        <w:pStyle w:val="Stopka"/>
        <w:spacing w:before="0" w:after="60"/>
        <w:ind w:hanging="0"/>
        <w:rPr>
          <w:b/>
          <w:b/>
          <w:u w:val="single"/>
        </w:rPr>
      </w:pPr>
      <w:r>
        <w:rPr>
          <w:b/>
          <w:u w:val="single"/>
        </w:rPr>
        <w:t>Konflikty społeczne</w:t>
      </w:r>
    </w:p>
    <w:p>
      <w:pPr>
        <w:pStyle w:val="Normal"/>
        <w:rPr/>
      </w:pPr>
      <w:r>
        <w:rPr/>
        <w:t xml:space="preserve">Spalarnie odpadów od lat są źródłem protestów społeczności lokalnych. Protesty te z reguły wynikają z przeświadczenia, że spalanie odpadów może prowadzić do emisji do powietrza szkodliwych substancji. Źródłem tego przekonania jest nadmierna emisja ze spalania odpadów w piecach domowych. Najczęściej z protestami mamy do czynienia w przypadku lokalizowania spalarni w bezpośrednim sąsiedztwie osiedli ludzkich. </w:t>
      </w:r>
    </w:p>
    <w:p>
      <w:pPr>
        <w:pStyle w:val="Normal"/>
        <w:rPr/>
      </w:pPr>
      <w:r>
        <w:rPr/>
        <w:t>W omawianym przypadku przedstawienie rzeczowej argumentacji o braku negatywnego oddziaływania inwestycji oraz korzyści płynących z takiego rozwiązania (unieszkodliwienie odpadów palnych, których nie można składować, z wykorzystaniem energii, zamiast płacenia za ich przetwarzanie, częściowe zastąpienie kotłów na olej opałowy i węgiel) powinno pomóc rozwiać pojawiające się wątpliwości i obawy.</w:t>
      </w:r>
    </w:p>
    <w:p>
      <w:pPr>
        <w:pStyle w:val="Stopka"/>
        <w:spacing w:before="0" w:after="60"/>
        <w:ind w:hanging="0"/>
        <w:rPr>
          <w:b/>
          <w:b/>
          <w:u w:val="single"/>
        </w:rPr>
      </w:pPr>
      <w:r>
        <w:rPr>
          <w:b/>
          <w:u w:val="single"/>
        </w:rPr>
      </w:r>
    </w:p>
    <w:p>
      <w:pPr>
        <w:pStyle w:val="Stopka"/>
        <w:spacing w:before="0" w:after="60"/>
        <w:ind w:hanging="0"/>
        <w:rPr>
          <w:b/>
          <w:b/>
          <w:u w:val="single"/>
        </w:rPr>
      </w:pPr>
      <w:r>
        <w:rPr>
          <w:b/>
          <w:u w:val="single"/>
        </w:rPr>
        <w:t>Monitoring</w:t>
      </w:r>
    </w:p>
    <w:p>
      <w:pPr>
        <w:pStyle w:val="Normal"/>
        <w:rPr/>
      </w:pPr>
      <w:r>
        <w:rPr/>
        <w:t xml:space="preserve">W związku z eksploatacją przedsięwzięcia planowany jest stały monitoring głównych parametrów pracy oraz stały monitoring emisji zanieczyszczeń emitowanych do powietrza. Planuje się także prowadzenie monitoringu wytwarzanych odpadów jak i monitoring odpadów przyjmowanych do spalenia. Nie przewiduje się monitorowania w zakresie oddziaływania na wody powierzchniowe i podziemne ani monitorowania hałasu. </w:t>
      </w:r>
    </w:p>
    <w:p>
      <w:pPr>
        <w:pStyle w:val="Normal"/>
        <w:rPr/>
      </w:pPr>
      <w:r>
        <w:rPr/>
      </w:r>
    </w:p>
    <w:p>
      <w:pPr>
        <w:pStyle w:val="Nagwek1"/>
        <w:numPr>
          <w:ilvl w:val="0"/>
          <w:numId w:val="2"/>
        </w:numPr>
        <w:spacing w:before="120" w:after="120"/>
        <w:ind w:left="431" w:hanging="431"/>
        <w:rPr/>
      </w:pPr>
      <w:bookmarkStart w:id="163" w:name="_Toc518331381"/>
      <w:bookmarkStart w:id="164" w:name="_Toc518329728"/>
      <w:bookmarkEnd w:id="163"/>
      <w:bookmarkEnd w:id="164"/>
      <w:r>
        <w:rPr/>
        <w:t>ŹRÓDŁA INFORMACJI STANOWIĄCE PODSTAWĘ DO SPORZĄDZENIA RAPORTU</w:t>
      </w:r>
    </w:p>
    <w:p>
      <w:pPr>
        <w:pStyle w:val="Annotationtext"/>
        <w:numPr>
          <w:ilvl w:val="0"/>
          <w:numId w:val="78"/>
        </w:numPr>
        <w:spacing w:before="0" w:after="120"/>
        <w:ind w:left="425" w:hanging="425"/>
        <w:jc w:val="left"/>
        <w:rPr>
          <w:sz w:val="24"/>
          <w:szCs w:val="24"/>
        </w:rPr>
      </w:pPr>
      <w:r>
        <w:rPr>
          <w:sz w:val="24"/>
          <w:szCs w:val="24"/>
        </w:rPr>
        <w:t>Dobrzański B., Zawadzki S., Gleboznawstwo. PWRiL, Warszawa 1995</w:t>
      </w:r>
    </w:p>
    <w:p>
      <w:pPr>
        <w:pStyle w:val="ListParagraph"/>
        <w:numPr>
          <w:ilvl w:val="0"/>
          <w:numId w:val="78"/>
        </w:numPr>
        <w:spacing w:before="0" w:after="120"/>
        <w:ind w:left="425" w:hanging="425"/>
        <w:jc w:val="left"/>
        <w:rPr>
          <w:szCs w:val="24"/>
        </w:rPr>
      </w:pPr>
      <w:r>
        <w:rPr>
          <w:szCs w:val="24"/>
        </w:rPr>
        <w:t>Hess M., Piętra klimatyczne w polskich Karpatach Zachodnich. Zesz. Nauk. UJ. Prace Geogr., 11, Kraków 1965</w:t>
      </w:r>
    </w:p>
    <w:p>
      <w:pPr>
        <w:pStyle w:val="Annotationtext"/>
        <w:numPr>
          <w:ilvl w:val="0"/>
          <w:numId w:val="78"/>
        </w:numPr>
        <w:spacing w:before="0" w:after="120"/>
        <w:ind w:left="425" w:hanging="425"/>
        <w:jc w:val="left"/>
        <w:rPr>
          <w:sz w:val="24"/>
          <w:szCs w:val="24"/>
          <w:highlight w:val="white"/>
        </w:rPr>
      </w:pPr>
      <w:r>
        <w:rPr>
          <w:sz w:val="24"/>
          <w:szCs w:val="24"/>
        </w:rPr>
        <w:t>Klimaszewski</w:t>
      </w:r>
      <w:r>
        <w:rPr>
          <w:sz w:val="24"/>
          <w:szCs w:val="24"/>
          <w:shd w:fill="FFFFFF" w:val="clear"/>
        </w:rPr>
        <w:t xml:space="preserve"> M., Geomorfologia Polski, t. 1, Góry i wyżyny. PWN, Warszawa 1972</w:t>
      </w:r>
    </w:p>
    <w:p>
      <w:pPr>
        <w:pStyle w:val="ListParagraph"/>
        <w:numPr>
          <w:ilvl w:val="0"/>
          <w:numId w:val="78"/>
        </w:numPr>
        <w:spacing w:before="0" w:after="120"/>
        <w:ind w:left="425" w:hanging="425"/>
        <w:jc w:val="left"/>
        <w:rPr>
          <w:szCs w:val="24"/>
        </w:rPr>
      </w:pPr>
      <w:r>
        <w:rPr>
          <w:szCs w:val="24"/>
        </w:rPr>
        <w:t xml:space="preserve">Kondracki J., Geografia regionalna Polski, </w:t>
      </w:r>
      <w:r>
        <w:rPr>
          <w:szCs w:val="24"/>
          <w:shd w:fill="FFFFFF" w:val="clear"/>
        </w:rPr>
        <w:t>PWN, Warszawa 2002</w:t>
      </w:r>
    </w:p>
    <w:p>
      <w:pPr>
        <w:pStyle w:val="ListParagraph"/>
        <w:numPr>
          <w:ilvl w:val="0"/>
          <w:numId w:val="78"/>
        </w:numPr>
        <w:spacing w:before="0" w:after="120"/>
        <w:ind w:left="425" w:hanging="425"/>
        <w:jc w:val="left"/>
        <w:rPr>
          <w:szCs w:val="24"/>
        </w:rPr>
      </w:pPr>
      <w:r>
        <w:rPr>
          <w:szCs w:val="24"/>
        </w:rPr>
        <w:t>Matuszkiewicz W., Przewodnik do oznaczania zbiorowisk roślinnych Polski. PWN, Warszawa 2007</w:t>
      </w:r>
    </w:p>
    <w:p>
      <w:pPr>
        <w:pStyle w:val="ListParagraph"/>
        <w:numPr>
          <w:ilvl w:val="0"/>
          <w:numId w:val="78"/>
        </w:numPr>
        <w:spacing w:before="0" w:after="120"/>
        <w:ind w:left="425" w:hanging="425"/>
        <w:jc w:val="left"/>
        <w:rPr>
          <w:szCs w:val="24"/>
        </w:rPr>
      </w:pPr>
      <w:r>
        <w:rPr/>
        <w:t>Matuszkiewicz J. M., Regionalizacja geobotaniczna Polski, IGiPZ PAN, Warszawa 2008</w:t>
      </w:r>
    </w:p>
    <w:p>
      <w:pPr>
        <w:pStyle w:val="ListParagraph"/>
        <w:numPr>
          <w:ilvl w:val="0"/>
          <w:numId w:val="78"/>
        </w:numPr>
        <w:spacing w:before="0" w:after="120"/>
        <w:ind w:left="425" w:hanging="425"/>
        <w:jc w:val="left"/>
        <w:rPr>
          <w:szCs w:val="24"/>
        </w:rPr>
      </w:pPr>
      <w:r>
        <w:rPr>
          <w:szCs w:val="24"/>
        </w:rPr>
        <w:t xml:space="preserve">Okołowicz W., Martyn D., </w:t>
      </w:r>
      <w:r>
        <w:rPr>
          <w:szCs w:val="24"/>
          <w:shd w:fill="FFFFFF" w:val="clear"/>
        </w:rPr>
        <w:t>R</w:t>
      </w:r>
      <w:r>
        <w:rPr>
          <w:szCs w:val="24"/>
        </w:rPr>
        <w:t>egionalizacja klimatyczna. Warszawa 1979</w:t>
      </w:r>
    </w:p>
    <w:p>
      <w:pPr>
        <w:pStyle w:val="Annotationtext"/>
        <w:numPr>
          <w:ilvl w:val="0"/>
          <w:numId w:val="78"/>
        </w:numPr>
        <w:spacing w:before="0" w:after="120"/>
        <w:ind w:left="425" w:hanging="425"/>
        <w:jc w:val="left"/>
        <w:rPr>
          <w:sz w:val="24"/>
          <w:szCs w:val="24"/>
        </w:rPr>
      </w:pPr>
      <w:r>
        <w:rPr>
          <w:sz w:val="24"/>
          <w:szCs w:val="24"/>
        </w:rPr>
        <w:t>Richling A., Kompleksowa geografia fizyczna. PWN, Warszawa 1992</w:t>
      </w:r>
    </w:p>
    <w:p>
      <w:pPr>
        <w:pStyle w:val="Annotationtext"/>
        <w:numPr>
          <w:ilvl w:val="0"/>
          <w:numId w:val="78"/>
        </w:numPr>
        <w:spacing w:before="0" w:after="120"/>
        <w:ind w:left="425" w:hanging="425"/>
        <w:jc w:val="left"/>
        <w:rPr>
          <w:sz w:val="24"/>
          <w:szCs w:val="24"/>
        </w:rPr>
      </w:pPr>
      <w:r>
        <w:rPr>
          <w:sz w:val="24"/>
          <w:szCs w:val="24"/>
        </w:rPr>
        <w:t>Richling A., Metody szczegółowych badań geografii fizycznej. PWN, Warszawa 1993</w:t>
      </w:r>
    </w:p>
    <w:p>
      <w:pPr>
        <w:pStyle w:val="ListParagraph"/>
        <w:numPr>
          <w:ilvl w:val="0"/>
          <w:numId w:val="78"/>
        </w:numPr>
        <w:spacing w:before="0" w:after="120"/>
        <w:ind w:left="425" w:hanging="425"/>
        <w:jc w:val="left"/>
        <w:rPr>
          <w:szCs w:val="24"/>
        </w:rPr>
      </w:pPr>
      <w:r>
        <w:rPr>
          <w:szCs w:val="24"/>
        </w:rPr>
        <w:t xml:space="preserve">Starkel L., 1972a: </w:t>
      </w:r>
      <w:r>
        <w:rPr>
          <w:bCs/>
          <w:iCs/>
          <w:szCs w:val="24"/>
        </w:rPr>
        <w:t>Karpaty Zewnętrzne.</w:t>
      </w:r>
      <w:r>
        <w:rPr>
          <w:szCs w:val="24"/>
        </w:rPr>
        <w:t xml:space="preserve"> [w:] M. Klimaszewski (red.), Geomorfologia Polski, t. 1. PWN Warszawa</w:t>
      </w:r>
    </w:p>
    <w:p>
      <w:pPr>
        <w:pStyle w:val="Annotationtext"/>
        <w:numPr>
          <w:ilvl w:val="0"/>
          <w:numId w:val="78"/>
        </w:numPr>
        <w:spacing w:before="0" w:after="120"/>
        <w:ind w:left="425" w:hanging="425"/>
        <w:jc w:val="left"/>
        <w:rPr>
          <w:sz w:val="24"/>
          <w:szCs w:val="24"/>
        </w:rPr>
      </w:pPr>
      <w:r>
        <w:rPr>
          <w:sz w:val="24"/>
          <w:szCs w:val="24"/>
        </w:rPr>
        <w:t>Starkel L., 1972b: Charakterystyka rzeźby polskich Karpat (i jej znaczenie dla gospodarki ludzkiej). Problemy Zagosp. Ziem Górskich, 10: 75-150</w:t>
      </w:r>
    </w:p>
    <w:p>
      <w:pPr>
        <w:pStyle w:val="ListParagraph"/>
        <w:numPr>
          <w:ilvl w:val="0"/>
          <w:numId w:val="78"/>
        </w:numPr>
        <w:spacing w:before="0" w:after="120"/>
        <w:ind w:left="425" w:hanging="425"/>
        <w:jc w:val="left"/>
        <w:rPr>
          <w:szCs w:val="24"/>
        </w:rPr>
      </w:pPr>
      <w:r>
        <w:rPr>
          <w:szCs w:val="24"/>
        </w:rPr>
        <w:t>Woś A., Regiony klimatyczne polski w świetle częstości występowania różnych typów pogody. IGiIPZ PAN Nr 20 1993</w:t>
      </w:r>
    </w:p>
    <w:p>
      <w:pPr>
        <w:pStyle w:val="Annotationtext"/>
        <w:numPr>
          <w:ilvl w:val="0"/>
          <w:numId w:val="78"/>
        </w:numPr>
        <w:spacing w:before="0" w:after="120"/>
        <w:ind w:left="425" w:hanging="425"/>
        <w:jc w:val="left"/>
        <w:rPr>
          <w:sz w:val="24"/>
          <w:szCs w:val="24"/>
        </w:rPr>
      </w:pPr>
      <w:r>
        <w:rPr>
          <w:sz w:val="24"/>
          <w:szCs w:val="24"/>
        </w:rPr>
        <w:t>Ziętara T. Rola gwałtownych ulew i powodzi w modelowaniu rzeźby Beskidów. PAN Instytut Geografii Prace Geograficzne nr 60 , Warszawa 1968</w:t>
      </w:r>
    </w:p>
    <w:p>
      <w:pPr>
        <w:pStyle w:val="ListParagraph"/>
        <w:numPr>
          <w:ilvl w:val="0"/>
          <w:numId w:val="78"/>
        </w:numPr>
        <w:spacing w:before="0" w:after="120"/>
        <w:ind w:left="425" w:hanging="425"/>
        <w:jc w:val="left"/>
        <w:rPr>
          <w:szCs w:val="24"/>
        </w:rPr>
      </w:pPr>
      <w:r>
        <w:rPr>
          <w:szCs w:val="24"/>
        </w:rPr>
        <w:t>Informator PSH Główne Zbiorniki Wód Podziemnych w Polsce. Warszawa 2017</w:t>
      </w:r>
    </w:p>
    <w:p>
      <w:pPr>
        <w:pStyle w:val="Annotationtext"/>
        <w:numPr>
          <w:ilvl w:val="0"/>
          <w:numId w:val="78"/>
        </w:numPr>
        <w:spacing w:before="0" w:after="120"/>
        <w:ind w:left="425" w:hanging="425"/>
        <w:jc w:val="left"/>
        <w:rPr>
          <w:sz w:val="24"/>
          <w:szCs w:val="24"/>
        </w:rPr>
      </w:pPr>
      <w:r>
        <w:rPr>
          <w:sz w:val="24"/>
          <w:szCs w:val="24"/>
        </w:rPr>
        <w:t>Współczesne przemiany rzeźby Polski, Stowarzyszenie Geomorfologów Polskich Instytut Geografii i Gospodarki Przestrzennej Uniwersytetu Jagiellońskiego Instytut Geografii i Przestrzennego Zagospodarowania Polskiej Akademii Nauk. Redaktorzy tomu: Leszek Starkel, Andrzej Kostrzewski, Adam Kotarba, Kazimierz Krzemień Kraków, 2008</w:t>
      </w:r>
    </w:p>
    <w:p>
      <w:pPr>
        <w:pStyle w:val="ListParagraph"/>
        <w:numPr>
          <w:ilvl w:val="0"/>
          <w:numId w:val="78"/>
        </w:numPr>
        <w:spacing w:before="0" w:after="120"/>
        <w:ind w:left="425" w:hanging="425"/>
        <w:jc w:val="left"/>
        <w:rPr>
          <w:szCs w:val="24"/>
        </w:rPr>
      </w:pPr>
      <w:r>
        <w:rPr>
          <w:szCs w:val="24"/>
        </w:rPr>
        <w:t>Z  zagadnień metodycznych kartowania stosunków klimatycznych w  Beskidach w skali  szczegółowej. B,Obrębska-Starklowa Metody opracowań topoklimatologicznych Dokumentacja Geograficzna IGiPZ PAN , z.3 1980</w:t>
      </w:r>
    </w:p>
    <w:p>
      <w:pPr>
        <w:pStyle w:val="Annotationtext"/>
        <w:numPr>
          <w:ilvl w:val="0"/>
          <w:numId w:val="78"/>
        </w:numPr>
        <w:spacing w:before="0" w:after="120"/>
        <w:ind w:left="425" w:hanging="425"/>
        <w:jc w:val="left"/>
        <w:rPr>
          <w:sz w:val="24"/>
          <w:szCs w:val="24"/>
        </w:rPr>
      </w:pPr>
      <w:r>
        <w:rPr>
          <w:sz w:val="24"/>
          <w:szCs w:val="24"/>
        </w:rPr>
        <w:t xml:space="preserve">Zarys budowy geologicznej zachodniej części Karpat polskich (bez utworów czwartorzędowych) Z.Paul, A.Ryłko, W.Tomaś, Przegląd Geol.vol.44 nr 5,1996 </w:t>
      </w:r>
    </w:p>
    <w:p>
      <w:pPr>
        <w:pStyle w:val="ListParagraph"/>
        <w:numPr>
          <w:ilvl w:val="0"/>
          <w:numId w:val="78"/>
        </w:numPr>
        <w:spacing w:before="0" w:after="120"/>
        <w:ind w:left="425" w:hanging="425"/>
        <w:jc w:val="left"/>
        <w:rPr>
          <w:bCs/>
          <w:szCs w:val="24"/>
        </w:rPr>
      </w:pPr>
      <w:r>
        <w:rPr>
          <w:bCs/>
          <w:szCs w:val="24"/>
        </w:rPr>
        <w:t>Seryjne mapy geologiczne Polski w skali 1:50 000, arkusz 1012 – Bielsko- Biała (M-34-75-C)</w:t>
      </w:r>
    </w:p>
    <w:p>
      <w:pPr>
        <w:pStyle w:val="ListParagraph"/>
        <w:numPr>
          <w:ilvl w:val="0"/>
          <w:numId w:val="78"/>
        </w:numPr>
        <w:spacing w:before="0" w:after="120"/>
        <w:ind w:left="425" w:hanging="425"/>
        <w:jc w:val="left"/>
        <w:rPr>
          <w:szCs w:val="24"/>
        </w:rPr>
      </w:pPr>
      <w:r>
        <w:rPr>
          <w:bCs/>
          <w:szCs w:val="24"/>
        </w:rPr>
        <w:t xml:space="preserve">Mapa głównych zbiorników wód podziemnych – stan na dzień  1 stycznia  2017 r. Państwowa Służba Hydrologiczna PIG-PIB 1: 800 000 </w:t>
      </w:r>
    </w:p>
    <w:p>
      <w:pPr>
        <w:pStyle w:val="Footnotetext"/>
        <w:numPr>
          <w:ilvl w:val="0"/>
          <w:numId w:val="78"/>
        </w:numPr>
        <w:spacing w:before="0" w:after="120"/>
        <w:ind w:left="425" w:hanging="425"/>
        <w:rPr>
          <w:sz w:val="24"/>
          <w:szCs w:val="24"/>
        </w:rPr>
      </w:pPr>
      <w:r>
        <w:rPr>
          <w:sz w:val="24"/>
          <w:szCs w:val="24"/>
        </w:rPr>
        <w:t>Mapy Podziału Hydrograficznego Polski; IMGW-PIB, 2016</w:t>
      </w:r>
    </w:p>
    <w:p>
      <w:pPr>
        <w:pStyle w:val="ListParagraph"/>
        <w:numPr>
          <w:ilvl w:val="0"/>
          <w:numId w:val="78"/>
        </w:numPr>
        <w:spacing w:before="0" w:after="120"/>
        <w:ind w:left="425" w:hanging="425"/>
        <w:jc w:val="left"/>
        <w:rPr>
          <w:szCs w:val="24"/>
        </w:rPr>
      </w:pPr>
      <w:r>
        <w:rPr>
          <w:szCs w:val="24"/>
        </w:rPr>
        <w:t>Mapa naturalnej roślinności potencjalnej 1: 1 000 000, J.M. Matuszkiewicz, IGiPZ PAN, Warszawa 2008</w:t>
      </w:r>
    </w:p>
    <w:p>
      <w:pPr>
        <w:pStyle w:val="ListParagraph"/>
        <w:numPr>
          <w:ilvl w:val="0"/>
          <w:numId w:val="78"/>
        </w:numPr>
        <w:spacing w:before="0" w:after="120"/>
        <w:ind w:left="425" w:hanging="425"/>
        <w:jc w:val="left"/>
        <w:rPr>
          <w:szCs w:val="24"/>
        </w:rPr>
      </w:pPr>
      <w:r>
        <w:rPr>
          <w:szCs w:val="24"/>
        </w:rPr>
        <w:t>Aktualizacja „Programu małej retencji województwa śląskiego” przyjętego w dniu 16 stycznia 2006 roku uchwałą Sejmiku Województwa Śląskiego nr II/43/1/2006 oraz „Aneksu do Programu małej retencji dla województwa śląskiego” wraz z „</w:t>
      </w:r>
      <w:r>
        <w:rPr>
          <w:rStyle w:val="Wyrnienie"/>
          <w:i w:val="false"/>
          <w:iCs w:val="false"/>
          <w:szCs w:val="24"/>
        </w:rPr>
        <w:t xml:space="preserve">Prognozą oddziaływania na środowisko” przyjętego </w:t>
      </w:r>
      <w:r>
        <w:rPr>
          <w:i/>
          <w:szCs w:val="24"/>
        </w:rPr>
        <w:t>u</w:t>
      </w:r>
      <w:r>
        <w:rPr>
          <w:szCs w:val="24"/>
        </w:rPr>
        <w:t>chwałą Sejmiku Województwa Śląskiego z dnia 28 sierpnia 2006 r. nr II/51/2/2006.</w:t>
      </w:r>
    </w:p>
    <w:p>
      <w:pPr>
        <w:pStyle w:val="Annotationtext"/>
        <w:numPr>
          <w:ilvl w:val="0"/>
          <w:numId w:val="78"/>
        </w:numPr>
        <w:spacing w:before="0" w:after="120"/>
        <w:ind w:left="425" w:hanging="425"/>
        <w:jc w:val="left"/>
        <w:rPr>
          <w:sz w:val="24"/>
          <w:szCs w:val="24"/>
        </w:rPr>
      </w:pPr>
      <w:r>
        <w:rPr>
          <w:sz w:val="24"/>
          <w:szCs w:val="24"/>
        </w:rPr>
        <w:t>Karta informacyjna JCWPd nr 158</w:t>
      </w:r>
    </w:p>
    <w:p>
      <w:pPr>
        <w:pStyle w:val="ListParagraph"/>
        <w:numPr>
          <w:ilvl w:val="0"/>
          <w:numId w:val="78"/>
        </w:numPr>
        <w:spacing w:before="0" w:after="120"/>
        <w:ind w:left="425" w:hanging="425"/>
        <w:jc w:val="left"/>
        <w:rPr>
          <w:szCs w:val="24"/>
        </w:rPr>
      </w:pPr>
      <w:r>
        <w:rPr>
          <w:szCs w:val="24"/>
        </w:rPr>
        <w:t>Miejscowy Plan Zagospodarowania Przestrzennego miasta Żywca zatwierdzony uchwałą Nr LIII/377/2013 Rady Miejskiej w Żywcu z dnia 28 listopada 2013 r.</w:t>
      </w:r>
    </w:p>
    <w:p>
      <w:pPr>
        <w:pStyle w:val="ListParagraph"/>
        <w:numPr>
          <w:ilvl w:val="0"/>
          <w:numId w:val="78"/>
        </w:numPr>
        <w:spacing w:before="0" w:after="120"/>
        <w:ind w:left="425" w:hanging="425"/>
        <w:jc w:val="left"/>
        <w:rPr>
          <w:szCs w:val="24"/>
        </w:rPr>
      </w:pPr>
      <w:r>
        <w:rPr>
          <w:bCs/>
          <w:szCs w:val="24"/>
        </w:rPr>
        <w:t>Pierwszy poziom wodonośny wrażliwość na zanieczyszczenie i jakość wód. A</w:t>
      </w:r>
      <w:r>
        <w:rPr>
          <w:szCs w:val="24"/>
        </w:rPr>
        <w:t>rkusz Bielsko-Biała</w:t>
      </w:r>
    </w:p>
    <w:p>
      <w:pPr>
        <w:pStyle w:val="ListParagraph"/>
        <w:numPr>
          <w:ilvl w:val="0"/>
          <w:numId w:val="78"/>
        </w:numPr>
        <w:spacing w:before="0" w:after="120"/>
        <w:ind w:left="425" w:hanging="425"/>
        <w:jc w:val="left"/>
        <w:rPr>
          <w:szCs w:val="24"/>
        </w:rPr>
      </w:pPr>
      <w:r>
        <w:rPr>
          <w:szCs w:val="24"/>
        </w:rPr>
        <w:t>Plan gospodarki odpadami dla województwa śląskiego na lata 2016-2022. Katowice 2017</w:t>
      </w:r>
    </w:p>
    <w:p>
      <w:pPr>
        <w:pStyle w:val="ListParagraph"/>
        <w:numPr>
          <w:ilvl w:val="0"/>
          <w:numId w:val="78"/>
        </w:numPr>
        <w:spacing w:before="0" w:after="120"/>
        <w:ind w:left="425" w:hanging="425"/>
        <w:jc w:val="left"/>
        <w:rPr>
          <w:szCs w:val="24"/>
        </w:rPr>
      </w:pPr>
      <w:r>
        <w:rPr>
          <w:szCs w:val="24"/>
        </w:rPr>
        <w:t>Program ochrony powietrza dla terenu województwa śląskiego PROJEKT – 1 września 2017</w:t>
      </w:r>
    </w:p>
    <w:p>
      <w:pPr>
        <w:pStyle w:val="ListParagraph"/>
        <w:numPr>
          <w:ilvl w:val="0"/>
          <w:numId w:val="78"/>
        </w:numPr>
        <w:spacing w:before="0" w:after="120"/>
        <w:ind w:left="425" w:hanging="425"/>
        <w:jc w:val="left"/>
        <w:rPr>
          <w:szCs w:val="24"/>
        </w:rPr>
      </w:pPr>
      <w:r>
        <w:rPr>
          <w:szCs w:val="24"/>
        </w:rPr>
        <w:t>Rozporządzenie Rady Ministrów z dnia 18 października 2016 r. w sprawie Planu gospodarowania wodami na obszarze dorzecza Wisły (Dz.U.2016.191)</w:t>
      </w:r>
    </w:p>
    <w:p>
      <w:pPr>
        <w:pStyle w:val="ListParagraph"/>
        <w:numPr>
          <w:ilvl w:val="0"/>
          <w:numId w:val="78"/>
        </w:numPr>
        <w:spacing w:before="0" w:after="120"/>
        <w:ind w:left="425" w:hanging="425"/>
        <w:jc w:val="left"/>
        <w:rPr>
          <w:szCs w:val="24"/>
        </w:rPr>
      </w:pPr>
      <w:r>
        <w:rPr>
          <w:szCs w:val="24"/>
        </w:rPr>
        <w:t>Rozporządzenie Nr 43/2016 z dnia 9 grudnia 2016 r. w sprawie przyjęcia Planu utrzymania wód obejmującego obszar Regionalnego Zarządu Gospodarki Wodnej w Krakowie</w:t>
      </w:r>
    </w:p>
    <w:p>
      <w:pPr>
        <w:pStyle w:val="ListParagraph"/>
        <w:numPr>
          <w:ilvl w:val="0"/>
          <w:numId w:val="78"/>
        </w:numPr>
        <w:spacing w:before="0" w:after="120"/>
        <w:ind w:left="425" w:hanging="425"/>
        <w:jc w:val="left"/>
        <w:rPr>
          <w:szCs w:val="24"/>
        </w:rPr>
      </w:pPr>
      <w:r>
        <w:rPr>
          <w:szCs w:val="24"/>
        </w:rPr>
        <w:t>Rozporządzenie Dyrektora Regionalnego Zarządu Gospodarki Wodnej w Krakowie z dnia 10 października 2017 r. zmieniające rozporządzenie w sprawie warunków korzystania z wód regionu wodnego Górnej Wisły w części należącej do województwa śląskiego (Dz. Urz. Woj. Śląsk.2017.5500)</w:t>
      </w:r>
    </w:p>
    <w:p>
      <w:pPr>
        <w:pStyle w:val="ListParagraph"/>
        <w:numPr>
          <w:ilvl w:val="0"/>
          <w:numId w:val="78"/>
        </w:numPr>
        <w:spacing w:before="0" w:after="120"/>
        <w:ind w:left="425" w:hanging="425"/>
        <w:jc w:val="left"/>
        <w:rPr>
          <w:szCs w:val="24"/>
        </w:rPr>
      </w:pPr>
      <w:r>
        <w:rPr>
          <w:szCs w:val="24"/>
        </w:rPr>
        <w:t>Raport o stanie jednolitych części wód podziemnych w dorzeczach – stan na rok 2016. PIG-PIB</w:t>
      </w:r>
    </w:p>
    <w:p>
      <w:pPr>
        <w:pStyle w:val="ListParagraph"/>
        <w:numPr>
          <w:ilvl w:val="0"/>
          <w:numId w:val="78"/>
        </w:numPr>
        <w:spacing w:before="0" w:after="120"/>
        <w:ind w:left="425" w:hanging="425"/>
        <w:jc w:val="left"/>
        <w:rPr>
          <w:szCs w:val="24"/>
        </w:rPr>
      </w:pPr>
      <w:r>
        <w:rPr>
          <w:szCs w:val="24"/>
        </w:rPr>
        <w:t>Stan środowiska w województwie śląskim w 2015. WIOŚ w Katowicach 2016</w:t>
      </w:r>
    </w:p>
    <w:p>
      <w:pPr>
        <w:pStyle w:val="ListParagraph"/>
        <w:numPr>
          <w:ilvl w:val="0"/>
          <w:numId w:val="78"/>
        </w:numPr>
        <w:spacing w:before="0" w:after="120"/>
        <w:ind w:left="425" w:hanging="425"/>
        <w:jc w:val="left"/>
        <w:rPr>
          <w:szCs w:val="24"/>
        </w:rPr>
      </w:pPr>
      <w:r>
        <w:rPr>
          <w:szCs w:val="24"/>
        </w:rPr>
        <w:t>Stan środowiska w województwie śląskim w 2016. WIOŚ w Katowicach 2017</w:t>
      </w:r>
    </w:p>
    <w:p>
      <w:pPr>
        <w:pStyle w:val="ListParagraph"/>
        <w:numPr>
          <w:ilvl w:val="0"/>
          <w:numId w:val="78"/>
        </w:numPr>
        <w:spacing w:before="0" w:after="120"/>
        <w:ind w:left="425" w:hanging="425"/>
        <w:rPr>
          <w:szCs w:val="24"/>
        </w:rPr>
      </w:pPr>
      <w:r>
        <w:rPr>
          <w:szCs w:val="24"/>
        </w:rPr>
        <w:t>Strategia Ochrony Przyrody Województwa Śląskiego do roku 2030 , Katowice 2012 (</w:t>
      </w:r>
      <w:r>
        <w:rPr>
          <w:szCs w:val="24"/>
          <w:shd w:fill="FFFFFF" w:val="clear"/>
        </w:rPr>
        <w:t>12 listopada 2012 r. Sejmik Województwa Śląskiego Uchwałą Nr IV/28/2/2012 przyjął Strategię Ochrony Przyrody Województwa Śląskiego do roku 2030)</w:t>
      </w:r>
      <w:r>
        <w:rPr>
          <w:rStyle w:val="Strong"/>
          <w:i/>
          <w:szCs w:val="24"/>
          <w:shd w:fill="FFFFFF" w:val="clear"/>
        </w:rPr>
        <w:t xml:space="preserve">  </w:t>
      </w:r>
    </w:p>
    <w:p>
      <w:pPr>
        <w:pStyle w:val="ListParagraph"/>
        <w:numPr>
          <w:ilvl w:val="0"/>
          <w:numId w:val="78"/>
        </w:numPr>
        <w:spacing w:before="0" w:after="120"/>
        <w:ind w:left="425" w:hanging="425"/>
        <w:jc w:val="left"/>
        <w:rPr>
          <w:rFonts w:eastAsia="Calibri"/>
          <w:szCs w:val="24"/>
          <w:lang w:eastAsia="en-US"/>
        </w:rPr>
      </w:pPr>
      <w:r>
        <w:rPr>
          <w:bCs/>
          <w:iCs/>
          <w:szCs w:val="24"/>
        </w:rPr>
        <w:t>System Prognoz Jakości Powietrza w strefach i aglomeracjach województwa śląskiego -strefa śląska</w:t>
      </w:r>
    </w:p>
    <w:p>
      <w:pPr>
        <w:pStyle w:val="Annotationtext"/>
        <w:numPr>
          <w:ilvl w:val="0"/>
          <w:numId w:val="78"/>
        </w:numPr>
        <w:spacing w:before="0" w:after="120"/>
        <w:ind w:left="425" w:hanging="425"/>
        <w:jc w:val="left"/>
        <w:rPr>
          <w:sz w:val="24"/>
          <w:szCs w:val="24"/>
        </w:rPr>
      </w:pPr>
      <w:r>
        <w:rPr>
          <w:sz w:val="24"/>
          <w:szCs w:val="24"/>
        </w:rPr>
        <w:t>Zagospodarowania Przestrzennego Województwa Śląskiego 2020+, załącznik do uchwały nr V / 26 / 2 / 2016 Sejmiku Województwa Śląskiego z dnia 29 sierpnia 2016 r. Katowice</w:t>
      </w:r>
    </w:p>
    <w:p>
      <w:pPr>
        <w:pStyle w:val="ListParagraph"/>
        <w:numPr>
          <w:ilvl w:val="0"/>
          <w:numId w:val="78"/>
        </w:numPr>
        <w:spacing w:before="0" w:after="120"/>
        <w:ind w:left="425" w:hanging="425"/>
        <w:jc w:val="left"/>
        <w:rPr>
          <w:szCs w:val="24"/>
        </w:rPr>
      </w:pPr>
      <w:r>
        <w:rPr>
          <w:szCs w:val="24"/>
        </w:rPr>
        <w:t>Encyklopedia Województwa Śląskiego http://ibrbs.pl/mediawiki/index.php/</w:t>
      </w:r>
    </w:p>
    <w:p>
      <w:pPr>
        <w:pStyle w:val="ListParagraph"/>
        <w:numPr>
          <w:ilvl w:val="0"/>
          <w:numId w:val="78"/>
        </w:numPr>
        <w:spacing w:before="0" w:after="120"/>
        <w:ind w:left="425" w:hanging="425"/>
        <w:jc w:val="left"/>
        <w:rPr/>
      </w:pPr>
      <w:r>
        <w:rPr>
          <w:bCs/>
        </w:rPr>
        <w:t>Geoportal RDOŚ Katowice http://geoportal.rdos.katowice.pl/geoportal/</w:t>
      </w:r>
    </w:p>
    <w:p>
      <w:pPr>
        <w:pStyle w:val="ListParagraph"/>
        <w:numPr>
          <w:ilvl w:val="0"/>
          <w:numId w:val="78"/>
        </w:numPr>
        <w:spacing w:before="0" w:after="120"/>
        <w:ind w:left="425" w:hanging="425"/>
        <w:rPr>
          <w:rStyle w:val="Strong"/>
          <w:b w:val="false"/>
          <w:b w:val="false"/>
          <w:bCs w:val="false"/>
          <w:szCs w:val="24"/>
        </w:rPr>
      </w:pPr>
      <w:r>
        <w:rPr>
          <w:bCs/>
        </w:rPr>
        <w:t>Stowarzyszenie</w:t>
      </w:r>
      <w:r>
        <w:rPr>
          <w:rStyle w:val="Strong"/>
          <w:b w:val="false"/>
          <w:szCs w:val="24"/>
          <w:shd w:fill="FFFFFF" w:val="clear"/>
        </w:rPr>
        <w:t xml:space="preserve"> Pracownia na rzecz Wszystkich Istot http://pracownia.org.pl/</w:t>
      </w:r>
    </w:p>
    <w:p>
      <w:pPr>
        <w:pStyle w:val="Annotationtext"/>
        <w:numPr>
          <w:ilvl w:val="0"/>
          <w:numId w:val="78"/>
        </w:numPr>
        <w:spacing w:before="0" w:after="120"/>
        <w:ind w:left="425" w:hanging="425"/>
        <w:jc w:val="left"/>
        <w:rPr>
          <w:sz w:val="24"/>
          <w:szCs w:val="24"/>
        </w:rPr>
      </w:pPr>
      <w:r>
        <w:rPr>
          <w:sz w:val="24"/>
          <w:szCs w:val="24"/>
        </w:rPr>
        <w:t>https://www.wysokosciomierz.pl/#</w:t>
      </w:r>
    </w:p>
    <w:p>
      <w:pPr>
        <w:pStyle w:val="ListParagraph"/>
        <w:numPr>
          <w:ilvl w:val="0"/>
          <w:numId w:val="78"/>
        </w:numPr>
        <w:spacing w:before="0" w:after="120"/>
        <w:ind w:left="425" w:hanging="425"/>
        <w:jc w:val="left"/>
        <w:rPr>
          <w:szCs w:val="24"/>
        </w:rPr>
      </w:pPr>
      <w:r>
        <w:rPr>
          <w:szCs w:val="24"/>
        </w:rPr>
        <w:t>http://</w:t>
      </w:r>
      <w:r>
        <w:rPr>
          <w:szCs w:val="24"/>
          <w:shd w:fill="FFFFFF" w:val="clear"/>
        </w:rPr>
        <w:t>www.meteoblue.com/pl/pogoda</w:t>
      </w:r>
    </w:p>
    <w:p>
      <w:pPr>
        <w:pStyle w:val="ListParagraph"/>
        <w:numPr>
          <w:ilvl w:val="0"/>
          <w:numId w:val="78"/>
        </w:numPr>
        <w:spacing w:before="0" w:after="120"/>
        <w:ind w:left="425" w:hanging="425"/>
        <w:jc w:val="left"/>
        <w:rPr>
          <w:szCs w:val="24"/>
        </w:rPr>
      </w:pPr>
      <w:r>
        <w:rPr>
          <w:szCs w:val="24"/>
        </w:rPr>
        <w:t>http://natura2000.gdos.gov.pl/natura2000</w:t>
      </w:r>
    </w:p>
    <w:p>
      <w:pPr>
        <w:pStyle w:val="ListParagraph"/>
        <w:numPr>
          <w:ilvl w:val="0"/>
          <w:numId w:val="78"/>
        </w:numPr>
        <w:spacing w:before="0" w:after="120"/>
        <w:ind w:left="425" w:hanging="425"/>
        <w:jc w:val="left"/>
        <w:rPr>
          <w:szCs w:val="24"/>
        </w:rPr>
      </w:pPr>
      <w:r>
        <w:rPr>
          <w:szCs w:val="24"/>
        </w:rPr>
        <w:t>http://www.bdl.lasy.gov.pl/portal</w:t>
      </w:r>
    </w:p>
    <w:p>
      <w:pPr>
        <w:sectPr>
          <w:headerReference w:type="even" r:id="rId74"/>
          <w:headerReference w:type="default" r:id="rId75"/>
          <w:footerReference w:type="even" r:id="rId76"/>
          <w:footerReference w:type="default" r:id="rId77"/>
          <w:footnotePr>
            <w:numFmt w:val="decimal"/>
          </w:footnotePr>
          <w:type w:val="nextPage"/>
          <w:pgSz w:w="11906" w:h="16838"/>
          <w:pgMar w:left="1418" w:right="1134" w:header="709" w:top="1418" w:footer="709" w:bottom="1418" w:gutter="0"/>
          <w:pgNumType w:fmt="decimal"/>
          <w:formProt w:val="false"/>
          <w:textDirection w:val="lrTb"/>
          <w:docGrid w:type="default" w:linePitch="360" w:charSpace="4294961151"/>
        </w:sect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sectPr>
          <w:footnotePr>
            <w:numFmt w:val="decimal"/>
          </w:footnotePr>
          <w:type w:val="nextPage"/>
          <w:pgSz w:w="11906" w:h="16838"/>
          <w:pgMar w:left="1418" w:right="1134" w:header="0" w:top="1418" w:footer="0" w:bottom="1418" w:gutter="0"/>
          <w:pgNumType w:fmt="decimal"/>
          <w:formProt w:val="false"/>
          <w:textDirection w:val="lrTb"/>
          <w:docGrid w:type="default" w:linePitch="360" w:charSpace="4294961151"/>
        </w:sectPr>
        <w:pStyle w:val="Normal"/>
        <w:spacing w:before="0" w:after="144"/>
        <w:ind w:left="426" w:hanging="0"/>
        <w:rPr>
          <w:b/>
          <w:b/>
          <w:szCs w:val="24"/>
        </w:rPr>
      </w:pPr>
      <w:r>
        <w:rPr>
          <w:b/>
          <w:szCs w:val="24"/>
        </w:rPr>
      </w:r>
    </w:p>
    <w:p>
      <w:pPr>
        <w:pStyle w:val="Normal"/>
        <w:spacing w:lineRule="auto" w:line="360"/>
        <w:ind w:hanging="0"/>
        <w:rPr>
          <w:b/>
          <w:b/>
          <w:sz w:val="26"/>
          <w:szCs w:val="26"/>
        </w:rPr>
      </w:pPr>
      <w:r>
        <w:rPr>
          <w:b/>
          <w:sz w:val="26"/>
          <w:szCs w:val="26"/>
        </w:rPr>
        <w:t>Spis załączników</w:t>
      </w:r>
    </w:p>
    <w:p>
      <w:pPr>
        <w:pStyle w:val="Normal"/>
        <w:spacing w:before="0" w:after="120"/>
        <w:ind w:hanging="0"/>
        <w:jc w:val="left"/>
        <w:rPr/>
      </w:pPr>
      <w:r>
        <w:rPr/>
        <w:t xml:space="preserve">Załącznik nr 1. Plan </w:t>
      </w:r>
      <w:bookmarkStart w:id="165" w:name="_GoBack"/>
      <w:bookmarkEnd w:id="165"/>
      <w:r>
        <w:rPr/>
        <w:t>zagospodarowania terenu</w:t>
      </w:r>
    </w:p>
    <w:p>
      <w:pPr>
        <w:pStyle w:val="Normal"/>
        <w:spacing w:before="0" w:after="120"/>
        <w:ind w:hanging="0"/>
        <w:jc w:val="left"/>
        <w:rPr/>
      </w:pPr>
      <w:r>
        <w:rPr/>
        <w:t>Załącznik nr 2. Ocena spełnienia najlepszej dostępnej techniki przez referencyjną rusztową instalację do termicznego przekształcania paliwa alternatywnego</w:t>
      </w:r>
    </w:p>
    <w:p>
      <w:pPr>
        <w:pStyle w:val="Normal"/>
        <w:spacing w:before="0" w:after="120"/>
        <w:ind w:hanging="0"/>
        <w:jc w:val="left"/>
        <w:rPr/>
      </w:pPr>
      <w:r>
        <w:rPr/>
        <w:t>Załącznik nr 3. Świadectwo energetyczne referencyjnej rusztowej instalacji do termicznego przekształcania paliwa alternatywnego</w:t>
      </w:r>
    </w:p>
    <w:p>
      <w:pPr>
        <w:pStyle w:val="Normal"/>
        <w:spacing w:before="0" w:after="120"/>
        <w:ind w:hanging="0"/>
        <w:jc w:val="left"/>
        <w:rPr/>
      </w:pPr>
      <w:r>
        <w:rPr/>
        <w:t>Załącznik nr 4. Badania popiołu z paliwa alternatywnego dla rusztowej instalacji do termicznego przekształcania paliwa alternatywnego</w:t>
      </w:r>
    </w:p>
    <w:p>
      <w:pPr>
        <w:pStyle w:val="Normal"/>
        <w:spacing w:before="0" w:after="120"/>
        <w:ind w:hanging="0"/>
        <w:jc w:val="left"/>
        <w:rPr/>
      </w:pPr>
      <w:r>
        <w:rPr/>
        <w:t>Załącznik nr 5. Karta przewodnia wentylatora</w:t>
      </w:r>
    </w:p>
    <w:p>
      <w:pPr>
        <w:pStyle w:val="Normal"/>
        <w:spacing w:before="0" w:after="120"/>
        <w:ind w:hanging="0"/>
        <w:jc w:val="left"/>
        <w:rPr/>
      </w:pPr>
      <w:r>
        <w:rPr/>
        <w:t>Załącznik nr 6. Analiza akustyczna dla pory nocy</w:t>
      </w:r>
    </w:p>
    <w:p>
      <w:pPr>
        <w:pStyle w:val="Normal"/>
        <w:spacing w:before="0" w:after="120"/>
        <w:ind w:hanging="0"/>
        <w:jc w:val="left"/>
        <w:rPr/>
      </w:pPr>
      <w:r>
        <w:rPr/>
        <w:t>Załącznik nr 7. Analiza akustyczna dla pory dnia</w:t>
      </w:r>
    </w:p>
    <w:p>
      <w:pPr>
        <w:pStyle w:val="Normal"/>
        <w:spacing w:before="0" w:after="120"/>
        <w:ind w:hanging="0"/>
        <w:jc w:val="left"/>
        <w:rPr/>
      </w:pPr>
      <w:r>
        <w:rPr/>
        <w:t>Załącznik nr 8. Informacja o aktualnym stanie jakości powietrza</w:t>
      </w:r>
    </w:p>
    <w:p>
      <w:pPr>
        <w:pStyle w:val="Normal"/>
        <w:spacing w:before="0" w:after="120"/>
        <w:ind w:hanging="0"/>
        <w:jc w:val="left"/>
        <w:rPr/>
      </w:pPr>
      <w:r>
        <w:rPr/>
        <w:t>Załącznik nr 9. Sprawozdanie z pomiarów emisji zanieczyszczeń do powietrza rusztowej instalacji termicznego przekształcania odpadów w Zielonej Górze zwanej również wodorowym generatorem energii</w:t>
      </w:r>
    </w:p>
    <w:p>
      <w:pPr>
        <w:pStyle w:val="Normal"/>
        <w:spacing w:before="0" w:after="120"/>
        <w:ind w:hanging="0"/>
        <w:jc w:val="left"/>
        <w:rPr/>
      </w:pPr>
      <w:r>
        <w:rPr/>
        <w:t>Załącznik nr 10. Sprawozdanie z pomiarów emisji zanieczyszczeń do powietrza rusztowej referencyjnej instalacji termicznego przekształcania odpadów w miejscowości Szeligach zwanej również piecem rusztowym WGE.</w:t>
      </w:r>
    </w:p>
    <w:p>
      <w:pPr>
        <w:pStyle w:val="Normal"/>
        <w:spacing w:before="0" w:after="120"/>
        <w:ind w:hanging="0"/>
        <w:jc w:val="left"/>
        <w:rPr/>
      </w:pPr>
      <w:r>
        <w:rPr/>
        <w:t>Załącznik nr 11. Analiza składu dioksyn i furanów w gazach spalinowych z rusztowej instalacji termicznego przekształcania paliwa alternatywnego.</w:t>
      </w:r>
    </w:p>
    <w:p>
      <w:pPr>
        <w:pStyle w:val="Normal"/>
        <w:spacing w:before="0" w:after="120"/>
        <w:ind w:hanging="0"/>
        <w:jc w:val="left"/>
        <w:rPr/>
      </w:pPr>
      <w:r>
        <w:rPr/>
        <w:t>Załącznik nr 12. Wydruki z programu OPERAT FB</w:t>
      </w:r>
    </w:p>
    <w:p>
      <w:pPr>
        <w:pStyle w:val="Normal"/>
        <w:spacing w:before="0" w:after="120"/>
        <w:ind w:hanging="0"/>
        <w:jc w:val="left"/>
        <w:rPr/>
      </w:pPr>
      <w:r>
        <w:rPr/>
        <w:t>Załącznik nr 13. Oświadczenie kierującego zespołem autorów</w:t>
      </w:r>
    </w:p>
    <w:p>
      <w:pPr>
        <w:pStyle w:val="Normal"/>
        <w:spacing w:before="0" w:after="120"/>
        <w:ind w:hanging="0"/>
        <w:jc w:val="left"/>
        <w:rPr/>
      </w:pPr>
      <w:r>
        <w:rPr/>
      </w:r>
    </w:p>
    <w:p>
      <w:pPr>
        <w:pStyle w:val="Normal"/>
        <w:spacing w:lineRule="auto" w:line="360"/>
        <w:ind w:hanging="0"/>
        <w:rPr/>
      </w:pPr>
      <w:r>
        <w:rPr/>
      </w:r>
    </w:p>
    <w:sectPr>
      <w:headerReference w:type="even" r:id="rId78"/>
      <w:headerReference w:type="default" r:id="rId79"/>
      <w:footerReference w:type="even" r:id="rId80"/>
      <w:footerReference w:type="default" r:id="rId81"/>
      <w:footnotePr>
        <w:numFmt w:val="decimal"/>
      </w:footnotePr>
      <w:type w:val="nextPage"/>
      <w:pgSz w:w="11906" w:h="16838"/>
      <w:pgMar w:left="1418" w:right="1134" w:header="709" w:top="1418" w:footer="709" w:bottom="1418" w:gutter="0"/>
      <w:pgNumType w:fmt="decimal"/>
      <w:formProt w:val="false"/>
      <w:titlePg/>
      <w:textDirection w:val="lrTb"/>
      <w:docGrid w:type="default" w:linePitch="360"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Times New Roman">
    <w:charset w:val="ee"/>
    <w:family w:val="roman"/>
    <w:pitch w:val="variable"/>
  </w:font>
  <w:font w:name="Arial">
    <w:charset w:val="ee"/>
    <w:family w:val="roman"/>
    <w:pitch w:val="variable"/>
  </w:font>
  <w:font w:name="Arial Narrow">
    <w:charset w:val="ee"/>
    <w:family w:val="roman"/>
    <w:pitch w:val="variable"/>
  </w:font>
  <w:font w:name="Tahoma">
    <w:charset w:val="ee"/>
    <w:family w:val="roman"/>
    <w:pitch w:val="variable"/>
  </w:font>
  <w:font w:name="Courier New">
    <w:charset w:val="ee"/>
    <w:family w:val="roman"/>
    <w:pitch w:val="variable"/>
  </w:font>
  <w:font w:name="Liberation Sans">
    <w:altName w:val="Arial"/>
    <w:charset w:val="ee"/>
    <w:family w:val="swiss"/>
    <w:pitch w:val="variable"/>
  </w:font>
  <w:font w:name="Comic Sans MS">
    <w:charset w:val="ee"/>
    <w:family w:val="roman"/>
    <w:pitch w:val="variable"/>
  </w:font>
  <w:font w:name="Calibri">
    <w:charset w:val="ee"/>
    <w:family w:val="roman"/>
    <w:pitch w:val="variable"/>
  </w:font>
  <w:font w:name="Calibri Light">
    <w:charset w:val="ee"/>
    <w:family w:val="roman"/>
    <w:pitch w:val="variable"/>
  </w:font>
  <w:font w:name="Cambria">
    <w:charset w:val="ee"/>
    <w:family w:val="roman"/>
    <w:pitch w:val="variable"/>
  </w:font>
  <w:font w:name="Trebuchet MS">
    <w:charset w:val="ee"/>
    <w:family w:val="roman"/>
    <w:pitch w:val="variable"/>
  </w:font>
  <w:font w:name="Open Sans">
    <w:charset w:val="ee"/>
    <w:family w:val="roman"/>
    <w:pitch w:val="variable"/>
  </w:font>
  <w:font w:name="TimesNewRomanPSMT">
    <w:charset w:val="ee"/>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tabs>
        <w:tab w:val="center" w:pos="4536" w:leader="none"/>
        <w:tab w:val="right" w:pos="8787" w:leader="none"/>
        <w:tab w:val="right" w:pos="9072" w:leader="none"/>
      </w:tabs>
      <w:rPr/>
    </w:pPr>
    <w:r>
      <w:rPr/>
      <w:tab/>
      <w:tab/>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33">
              <wp:simplePos x="0" y="0"/>
              <wp:positionH relativeFrom="margin">
                <wp:align>right</wp:align>
              </wp:positionH>
              <wp:positionV relativeFrom="paragraph">
                <wp:posOffset>635</wp:posOffset>
              </wp:positionV>
              <wp:extent cx="153035" cy="175260"/>
              <wp:effectExtent l="0" t="0" r="0" b="0"/>
              <wp:wrapSquare wrapText="largest"/>
              <wp:docPr id="30" name=""/>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67</w:t>
                          </w:r>
                          <w: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05pt;mso-position-vertical-relative:text;margin-left:702.25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67</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56">
              <wp:simplePos x="0" y="0"/>
              <wp:positionH relativeFrom="page">
                <wp:posOffset>725170</wp:posOffset>
              </wp:positionH>
              <wp:positionV relativeFrom="paragraph">
                <wp:posOffset>-1905</wp:posOffset>
              </wp:positionV>
              <wp:extent cx="153035" cy="175260"/>
              <wp:effectExtent l="0" t="0" r="0" b="0"/>
              <wp:wrapSquare wrapText="largest"/>
              <wp:docPr id="45" name=""/>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112</w:t>
                          </w:r>
                          <w: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112</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78">
              <wp:simplePos x="0" y="0"/>
              <wp:positionH relativeFrom="margin">
                <wp:align>right</wp:align>
              </wp:positionH>
              <wp:positionV relativeFrom="paragraph">
                <wp:posOffset>635</wp:posOffset>
              </wp:positionV>
              <wp:extent cx="153035" cy="175260"/>
              <wp:effectExtent l="0" t="0" r="0" b="0"/>
              <wp:wrapSquare wrapText="largest"/>
              <wp:docPr id="46" name=""/>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113</w:t>
                          </w:r>
                          <w: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05pt;mso-position-vertical-relative:text;margin-left:450.1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113</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79">
              <wp:simplePos x="0" y="0"/>
              <wp:positionH relativeFrom="page">
                <wp:posOffset>725170</wp:posOffset>
              </wp:positionH>
              <wp:positionV relativeFrom="paragraph">
                <wp:posOffset>-1905</wp:posOffset>
              </wp:positionV>
              <wp:extent cx="223520" cy="175260"/>
              <wp:effectExtent l="0" t="0" r="0" b="0"/>
              <wp:wrapSquare wrapText="largest"/>
              <wp:docPr id="47" name=""/>
              <a:graphic xmlns:a="http://schemas.openxmlformats.org/drawingml/2006/main">
                <a:graphicData uri="http://schemas.microsoft.com/office/word/2010/wordprocessingShape">
                  <wps:wsp>
                    <wps:cNvSpPr txBox="1"/>
                    <wps:spPr>
                      <a:xfrm>
                        <a:off x="0" y="0"/>
                        <a:ext cx="223520"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114</w:t>
                          </w:r>
                          <w:r>
                            <w:fldChar w:fldCharType="end"/>
                          </w:r>
                        </w:p>
                      </w:txbxContent>
                    </wps:txbx>
                    <wps:bodyPr anchor="t" lIns="0" tIns="0" rIns="0" bIns="0">
                      <a:spAutoFit/>
                    </wps:bodyPr>
                  </wps:wsp>
                </a:graphicData>
              </a:graphic>
            </wp:anchor>
          </w:drawing>
        </mc:Choice>
        <mc:Fallback>
          <w:pict>
            <v:rect fillcolor="#FFFFFF" style="position:absolute;rotation:0;width:17.6pt;height:13.8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114</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largest"/>
              <wp:docPr id="48" name=""/>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115</w:t>
                          </w:r>
                          <w: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450.1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115</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206">
              <wp:simplePos x="0" y="0"/>
              <wp:positionH relativeFrom="page">
                <wp:posOffset>725170</wp:posOffset>
              </wp:positionH>
              <wp:positionV relativeFrom="paragraph">
                <wp:posOffset>-1905</wp:posOffset>
              </wp:positionV>
              <wp:extent cx="223520" cy="175260"/>
              <wp:effectExtent l="0" t="0" r="0" b="0"/>
              <wp:wrapSquare wrapText="largest"/>
              <wp:docPr id="58" name=""/>
              <a:graphic xmlns:a="http://schemas.openxmlformats.org/drawingml/2006/main">
                <a:graphicData uri="http://schemas.microsoft.com/office/word/2010/wordprocessingShape">
                  <wps:wsp>
                    <wps:cNvSpPr txBox="1"/>
                    <wps:spPr>
                      <a:xfrm>
                        <a:off x="0" y="0"/>
                        <a:ext cx="223520"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168</w:t>
                          </w:r>
                          <w:r>
                            <w:fldChar w:fldCharType="end"/>
                          </w:r>
                        </w:p>
                      </w:txbxContent>
                    </wps:txbx>
                    <wps:bodyPr anchor="t" lIns="0" tIns="0" rIns="0" bIns="0">
                      <a:spAutoFit/>
                    </wps:bodyPr>
                  </wps:wsp>
                </a:graphicData>
              </a:graphic>
            </wp:anchor>
          </w:drawing>
        </mc:Choice>
        <mc:Fallback>
          <w:pict>
            <v:rect fillcolor="#FFFFFF" style="position:absolute;rotation:0;width:17.6pt;height:13.8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168</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232">
              <wp:simplePos x="0" y="0"/>
              <wp:positionH relativeFrom="margin">
                <wp:align>right</wp:align>
              </wp:positionH>
              <wp:positionV relativeFrom="paragraph">
                <wp:posOffset>635</wp:posOffset>
              </wp:positionV>
              <wp:extent cx="223520" cy="175260"/>
              <wp:effectExtent l="0" t="0" r="0" b="0"/>
              <wp:wrapSquare wrapText="largest"/>
              <wp:docPr id="59" name=""/>
              <a:graphic xmlns:a="http://schemas.openxmlformats.org/drawingml/2006/main">
                <a:graphicData uri="http://schemas.microsoft.com/office/word/2010/wordprocessingShape">
                  <wps:wsp>
                    <wps:cNvSpPr txBox="1"/>
                    <wps:spPr>
                      <a:xfrm>
                        <a:off x="0" y="0"/>
                        <a:ext cx="223520"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169</w:t>
                          </w:r>
                          <w:r>
                            <w:fldChar w:fldCharType="end"/>
                          </w:r>
                        </w:p>
                      </w:txbxContent>
                    </wps:txbx>
                    <wps:bodyPr anchor="t" lIns="0" tIns="0" rIns="0" bIns="0">
                      <a:spAutoFit/>
                    </wps:bodyPr>
                  </wps:wsp>
                </a:graphicData>
              </a:graphic>
            </wp:anchor>
          </w:drawing>
        </mc:Choice>
        <mc:Fallback>
          <w:pict>
            <v:rect fillcolor="#FFFFFF" style="position:absolute;rotation:0;width:17.6pt;height:13.8pt;mso-wrap-distance-left:0pt;mso-wrap-distance-right:0pt;mso-wrap-distance-top:0pt;mso-wrap-distance-bottom:0pt;margin-top:0.05pt;mso-position-vertical-relative:text;margin-left:449.65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169</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0">
              <wp:simplePos x="0" y="0"/>
              <wp:positionH relativeFrom="page">
                <wp:posOffset>725170</wp:posOffset>
              </wp:positionH>
              <wp:positionV relativeFrom="paragraph">
                <wp:posOffset>-1905</wp:posOffset>
              </wp:positionV>
              <wp:extent cx="14605" cy="14605"/>
              <wp:effectExtent l="0" t="0" r="0" b="0"/>
              <wp:wrapSquare wrapText="largest"/>
              <wp:docPr id="60" name=""/>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172</w:t>
                          </w:r>
                          <w: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172</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largest"/>
              <wp:docPr id="61" name=""/>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171</w:t>
                          </w:r>
                          <w: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449.65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171</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50">
              <wp:simplePos x="0" y="0"/>
              <wp:positionH relativeFrom="page">
                <wp:posOffset>725170</wp:posOffset>
              </wp:positionH>
              <wp:positionV relativeFrom="paragraph">
                <wp:posOffset>-1905</wp:posOffset>
              </wp:positionV>
              <wp:extent cx="76835" cy="175260"/>
              <wp:effectExtent l="0" t="0" r="0" b="0"/>
              <wp:wrapSquare wrapText="largest"/>
              <wp:docPr id="8" name=""/>
              <a:graphic xmlns:a="http://schemas.openxmlformats.org/drawingml/2006/main">
                <a:graphicData uri="http://schemas.microsoft.com/office/word/2010/wordprocessingShape">
                  <wps:wsp>
                    <wps:cNvSpPr txBox="1"/>
                    <wps:spPr>
                      <a:xfrm>
                        <a:off x="0" y="0"/>
                        <a:ext cx="768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6</w:t>
                          </w:r>
                          <w:r>
                            <w:fldChar w:fldCharType="end"/>
                          </w:r>
                        </w:p>
                      </w:txbxContent>
                    </wps:txbx>
                    <wps:bodyPr anchor="t" lIns="0" tIns="0" rIns="0" bIns="0">
                      <a:spAutoFit/>
                    </wps:bodyPr>
                  </wps:wsp>
                </a:graphicData>
              </a:graphic>
            </wp:anchor>
          </w:drawing>
        </mc:Choice>
        <mc:Fallback>
          <w:pict>
            <v:rect fillcolor="#FFFFFF" style="position:absolute;rotation:0;width:6.05pt;height:13.8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6</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39">
              <wp:simplePos x="0" y="0"/>
              <wp:positionH relativeFrom="margin">
                <wp:align>right</wp:align>
              </wp:positionH>
              <wp:positionV relativeFrom="paragraph">
                <wp:posOffset>635</wp:posOffset>
              </wp:positionV>
              <wp:extent cx="76835" cy="175260"/>
              <wp:effectExtent l="0" t="0" r="0" b="0"/>
              <wp:wrapSquare wrapText="largest"/>
              <wp:docPr id="9" name=""/>
              <a:graphic xmlns:a="http://schemas.openxmlformats.org/drawingml/2006/main">
                <a:graphicData uri="http://schemas.microsoft.com/office/word/2010/wordprocessingShape">
                  <wps:wsp>
                    <wps:cNvSpPr txBox="1"/>
                    <wps:spPr>
                      <a:xfrm>
                        <a:off x="0" y="0"/>
                        <a:ext cx="768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5</w:t>
                          </w:r>
                          <w:r>
                            <w:fldChar w:fldCharType="end"/>
                          </w:r>
                        </w:p>
                      </w:txbxContent>
                    </wps:txbx>
                    <wps:bodyPr anchor="t" lIns="0" tIns="0" rIns="0" bIns="0">
                      <a:spAutoFit/>
                    </wps:bodyPr>
                  </wps:wsp>
                </a:graphicData>
              </a:graphic>
            </wp:anchor>
          </w:drawing>
        </mc:Choice>
        <mc:Fallback>
          <w:pict>
            <v:rect fillcolor="#FFFFFF" style="position:absolute;rotation:0;width:6.05pt;height:13.8pt;mso-wrap-distance-left:0pt;mso-wrap-distance-right:0pt;mso-wrap-distance-top:0pt;mso-wrap-distance-bottom:0pt;margin-top:0.05pt;mso-position-vertical-relative:text;margin-left:461.65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5</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tabs>
        <w:tab w:val="center" w:pos="4536" w:leader="none"/>
        <w:tab w:val="right" w:pos="8787" w:leader="none"/>
        <w:tab w:val="right" w:pos="9072" w:leader="none"/>
      </w:tabs>
      <w:rPr/>
    </w:pPr>
    <w:r>
      <w:rPr/>
      <w:tab/>
      <w:tab/>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07">
              <wp:simplePos x="0" y="0"/>
              <wp:positionH relativeFrom="page">
                <wp:posOffset>725170</wp:posOffset>
              </wp:positionH>
              <wp:positionV relativeFrom="paragraph">
                <wp:posOffset>-1905</wp:posOffset>
              </wp:positionV>
              <wp:extent cx="153035" cy="175260"/>
              <wp:effectExtent l="0" t="0" r="0" b="0"/>
              <wp:wrapSquare wrapText="largest"/>
              <wp:docPr id="10" name=""/>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42</w:t>
                          </w:r>
                          <w: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42</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08">
              <wp:simplePos x="0" y="0"/>
              <wp:positionH relativeFrom="margin">
                <wp:align>right</wp:align>
              </wp:positionH>
              <wp:positionV relativeFrom="paragraph">
                <wp:posOffset>635</wp:posOffset>
              </wp:positionV>
              <wp:extent cx="153035" cy="175260"/>
              <wp:effectExtent l="0" t="0" r="0" b="0"/>
              <wp:wrapSquare wrapText="largest"/>
              <wp:docPr id="11" name=""/>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43</w:t>
                          </w:r>
                          <w: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05pt;mso-position-vertical-relative:text;margin-left:688.05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43</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32">
              <wp:simplePos x="0" y="0"/>
              <wp:positionH relativeFrom="page">
                <wp:posOffset>725170</wp:posOffset>
              </wp:positionH>
              <wp:positionV relativeFrom="paragraph">
                <wp:posOffset>-1905</wp:posOffset>
              </wp:positionV>
              <wp:extent cx="153035" cy="175260"/>
              <wp:effectExtent l="0" t="0" r="0" b="0"/>
              <wp:wrapSquare wrapText="largest"/>
              <wp:docPr id="27" name=""/>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66</w:t>
                          </w:r>
                          <w: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66</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20">
              <wp:simplePos x="0" y="0"/>
              <wp:positionH relativeFrom="margin">
                <wp:align>right</wp:align>
              </wp:positionH>
              <wp:positionV relativeFrom="paragraph">
                <wp:posOffset>635</wp:posOffset>
              </wp:positionV>
              <wp:extent cx="153035" cy="175260"/>
              <wp:effectExtent l="0" t="0" r="0" b="0"/>
              <wp:wrapSquare wrapText="largest"/>
              <wp:docPr id="28" name=""/>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67</w:t>
                          </w:r>
                          <w: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05pt;mso-position-vertical-relative:text;margin-left:455.65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67</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0">
              <wp:simplePos x="0" y="0"/>
              <wp:positionH relativeFrom="page">
                <wp:posOffset>725170</wp:posOffset>
              </wp:positionH>
              <wp:positionV relativeFrom="paragraph">
                <wp:posOffset>-1905</wp:posOffset>
              </wp:positionV>
              <wp:extent cx="14605" cy="14605"/>
              <wp:effectExtent l="0" t="0" r="0" b="0"/>
              <wp:wrapSquare wrapText="largest"/>
              <wp:docPr id="29" name=""/>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68</w:t>
                          </w:r>
                          <w: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68</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p>
  </w:footnote>
  <w:footnote w:id="1" w:type="continuationSeparator">
    <w:p>
      <w:r>
        <w:continuationSeparator/>
      </w:r>
    </w:p>
  </w:footnote>
  <w:footnote w:id="2">
    <w:p>
      <w:pPr>
        <w:pStyle w:val="Footnotetext"/>
        <w:rPr/>
      </w:pPr>
      <w:r>
        <w:rPr>
          <w:rStyle w:val="Footnotereference"/>
          <w:i/>
          <w:sz w:val="18"/>
        </w:rPr>
        <w:footnoteRef/>
        <w:tab/>
      </w:r>
      <w:r>
        <w:rPr>
          <w:i/>
          <w:sz w:val="18"/>
        </w:rPr>
        <w:t xml:space="preserve"> </w:t>
      </w:r>
      <w:r>
        <w:rPr>
          <w:i/>
          <w:sz w:val="18"/>
        </w:rPr>
        <w:t>Na podstawie: Analiza energetyczna wybranych rodzajów biomasy pochodzenia roślinnego, Niedziółka, Zuchniarz; MOTROL, 2006, 8A, 232–237</w:t>
      </w:r>
    </w:p>
  </w:footnote>
  <w:footnote w:id="3">
    <w:p>
      <w:pPr>
        <w:pStyle w:val="Footnotetext"/>
        <w:rPr/>
      </w:pPr>
      <w:r>
        <w:rPr>
          <w:i/>
          <w:sz w:val="18"/>
          <w:szCs w:val="18"/>
          <w:vertAlign w:val="superscript"/>
        </w:rPr>
        <w:footnoteRef/>
        <w:tab/>
      </w:r>
      <w:r>
        <w:rPr>
          <w:i/>
          <w:sz w:val="18"/>
          <w:szCs w:val="18"/>
        </w:rPr>
        <w:t xml:space="preserve"> </w:t>
      </w:r>
      <w:r>
        <w:rPr>
          <w:i/>
          <w:sz w:val="18"/>
          <w:szCs w:val="18"/>
        </w:rPr>
        <w:t>Wartość średnia dziesięciominutowa.</w:t>
      </w:r>
    </w:p>
  </w:footnote>
  <w:footnote w:id="4">
    <w:p>
      <w:pPr>
        <w:pStyle w:val="Footnotetext"/>
        <w:rPr/>
      </w:pPr>
      <w:r>
        <w:rPr>
          <w:i/>
          <w:sz w:val="18"/>
          <w:szCs w:val="18"/>
          <w:vertAlign w:val="superscript"/>
        </w:rPr>
        <w:footnoteRef/>
        <w:tab/>
      </w:r>
      <w:r>
        <w:rPr>
          <w:i/>
          <w:sz w:val="18"/>
          <w:szCs w:val="18"/>
        </w:rPr>
        <w:t xml:space="preserve"> </w:t>
      </w:r>
      <w:r>
        <w:rPr>
          <w:i/>
          <w:sz w:val="18"/>
          <w:szCs w:val="18"/>
        </w:rPr>
        <w:t>Jako suma iloczynów stężeń dioksyn i furanów w gazach odlotowych oraz ich współczynników równoważności toksycznej.</w:t>
      </w:r>
    </w:p>
  </w:footnote>
  <w:footnote w:id="5">
    <w:p>
      <w:pPr>
        <w:pStyle w:val="Footnotetext"/>
        <w:rPr/>
      </w:pPr>
      <w:r>
        <w:rPr>
          <w:vertAlign w:val="superscript"/>
        </w:rPr>
        <w:footnoteRef/>
        <w:tab/>
      </w:r>
      <w:r>
        <w:rPr/>
        <w:t xml:space="preserve"> </w:t>
      </w:r>
      <w:r>
        <w:rPr>
          <w:i/>
        </w:rPr>
        <w:t>obliczeń dokonano dla sumy dioksyn i furanów przy uwzględnieniu najwyższej wartości współczynnika toksyczności – 1 (TEF: WHO 2005), w oparciu o wyniki z pomiarów emisji zanieczyszczeń powietrza z emitora instalacji badawczej do termicznego przekształcania paliwa alternatywnego, zlokalizowanego w miejscowości Szeligi, nr pracy 32 7/16, wykonanych przez TESMO Sp.  z o.o. w listopadzie 2016r.</w:t>
      </w:r>
    </w:p>
  </w:footnote>
  <w:footnote w:id="6">
    <w:p>
      <w:pPr>
        <w:pStyle w:val="Footnotetext"/>
        <w:rPr/>
      </w:pPr>
      <w:r>
        <w:rPr>
          <w:rStyle w:val="Footnotereference"/>
        </w:rPr>
        <w:footnoteRef/>
        <w:tab/>
      </w:r>
      <w:r>
        <w:rPr/>
        <w:t xml:space="preserve"> </w:t>
      </w:r>
      <w:r>
        <w:rPr>
          <w:i/>
        </w:rPr>
        <w:t>podana szacowana ilość uwolnionych dioksyn i furanów odnosi się do awarii jednej linii technologicznej, wystąpienie jednoczesne awarii i emisji z dwóch linii technologicznych, należy uznać za nieprawdopodobne (niemożliwe lub możliwe wyłącznie do zaistnienia np. w wyniku katastrofy budowlanej lub zużycia). W analizowanym przypadku będziemy mieli do czynienia z nowymi liniami technologicznymi i nowym obiektem budowlanym.</w:t>
      </w:r>
    </w:p>
  </w:footnote>
  <w:footnote w:id="7">
    <w:p>
      <w:pPr>
        <w:pStyle w:val="Normal"/>
        <w:rPr>
          <w:i/>
          <w:i/>
          <w:sz w:val="18"/>
          <w:szCs w:val="18"/>
        </w:rPr>
      </w:pPr>
      <w:r>
        <w:rPr>
          <w:rStyle w:val="Footnotereference"/>
        </w:rPr>
        <w:footnoteRef/>
        <w:tab/>
      </w:r>
      <w:r>
        <w:rPr>
          <w:shd w:fill="FFFFFF" w:val="clear"/>
        </w:rPr>
        <w:t xml:space="preserve"> </w:t>
      </w:r>
      <w:r>
        <w:rPr>
          <w:i/>
          <w:sz w:val="18"/>
          <w:szCs w:val="18"/>
          <w:shd w:fill="FFFFFF" w:val="clear"/>
        </w:rPr>
        <w:t>Ustalenie granic dorzeczy i regionów wodnych zostało u</w:t>
      </w:r>
      <w:r>
        <w:rPr>
          <w:i/>
          <w:sz w:val="18"/>
          <w:szCs w:val="18"/>
        </w:rPr>
        <w:t>regulowane rozporządzeniem Rady Ministrów z dnia 27 czerwca 2006 r. w sprawie przebiegu granic obszarów dorzeczy i regionów wodnych (Dz. U.2006.878, z późn. zm.), które utraciło moc z dniem 1 stycznia 2018 r., tj. z dniem wejścia w życie ustawy z dnia 20 lipca 2017 r. – Prawo wodne. Obowiązuje nowe Rozporządzenie Rady Ministrów z dnia 28 grudnia 2017 r. w sprawie sposobu ustalenia i ewidencjonowania przebiegu granic obszarów dorzeczy, regionów wodnych oraz zlewni (Dz.U.2017.2505).</w:t>
      </w:r>
    </w:p>
    <w:p>
      <w:pPr>
        <w:pStyle w:val="Footnotetext"/>
        <w:rPr/>
      </w:pPr>
      <w:r>
        <w:rPr/>
      </w:r>
    </w:p>
  </w:footnote>
  <w:footnote w:id="8">
    <w:p>
      <w:pPr>
        <w:pStyle w:val="Footnotetext"/>
        <w:rPr/>
      </w:pPr>
      <w:r>
        <w:rPr>
          <w:rStyle w:val="Footnotereference"/>
        </w:rPr>
        <w:footnoteRef/>
        <w:tab/>
      </w:r>
      <w:r>
        <w:rPr/>
        <w:t xml:space="preserve">  </w:t>
      </w:r>
      <w:r>
        <w:rPr>
          <w:i/>
          <w:sz w:val="18"/>
          <w:szCs w:val="18"/>
        </w:rPr>
        <w:t>Rozporządzenie Rady Ministrów z dnia 27 grudnia 2017 r. w sprawie zlewni (Dz.U.2017.2509).</w:t>
      </w:r>
    </w:p>
  </w:footnote>
  <w:footnote w:id="9">
    <w:p>
      <w:pPr>
        <w:pStyle w:val="Footnotetext"/>
        <w:rPr/>
      </w:pPr>
      <w:r>
        <w:rPr>
          <w:rStyle w:val="Footnotereference"/>
        </w:rPr>
        <w:footnoteRef/>
        <w:tab/>
      </w:r>
      <w:r>
        <w:rPr/>
        <w:t xml:space="preserve"> </w:t>
      </w:r>
      <w:r>
        <w:rPr>
          <w:i/>
          <w:sz w:val="18"/>
          <w:szCs w:val="18"/>
        </w:rPr>
        <w:t>Cele środowiskowe dla wód podziemnych zostały określone w art. 4 ust. 1 lit. b Ramowej Dyrektywy Wodnej. Są to: zapobieganie lub ograniczanie dopływu zanieczyszczeń do wód podziemnych; niepogarszanie się stanu jednolitych części wód podziemnych; ochrona i przywrócenie dobrego stanu wód podziemnych oraz zapewnienie równowagi między poborem a zasilaniem wód podziemnych w celu osiągnięcia dobrego stanu do 2015 r.; odwrócenie znaczących i utrzymujących się rosnących trendów stężeń zanieczyszczeń powstałych wskutek działalności człowieka.</w:t>
      </w:r>
    </w:p>
  </w:footnote>
  <w:footnote w:id="10">
    <w:p>
      <w:pPr>
        <w:pStyle w:val="Footnotetext"/>
        <w:rPr/>
      </w:pPr>
      <w:r>
        <w:rPr>
          <w:rStyle w:val="Footnotereference"/>
        </w:rPr>
        <w:footnoteRef/>
        <w:tab/>
      </w:r>
      <w:r>
        <w:rPr/>
        <w:t xml:space="preserve"> </w:t>
      </w:r>
      <w:r>
        <w:rPr>
          <w:i/>
          <w:sz w:val="18"/>
          <w:szCs w:val="18"/>
        </w:rPr>
        <w:t>według MPHP – komputerowej Mapy Podziału Hydrograficznego Polski; IMGW-PIB, 2016</w:t>
      </w:r>
    </w:p>
  </w:footnote>
  <w:footnote w:id="11">
    <w:p>
      <w:pPr>
        <w:pStyle w:val="Footnotetext"/>
        <w:rPr/>
      </w:pPr>
      <w:r>
        <w:rPr>
          <w:rStyle w:val="Footnotereference"/>
        </w:rPr>
        <w:footnoteRef/>
        <w:tab/>
      </w:r>
      <w:r>
        <w:rPr>
          <w:lang w:val="en-US"/>
        </w:rPr>
        <w:t xml:space="preserve"> </w:t>
      </w:r>
      <w:r>
        <w:rPr>
          <w:i/>
          <w:sz w:val="18"/>
          <w:szCs w:val="18"/>
          <w:lang w:val="en-US"/>
        </w:rPr>
        <w:t>Green Infrastructure Guidance, 2009; Green infrastructure and territorial cohesion, 2011; Naumann i in. 2011</w:t>
      </w:r>
      <w:r>
        <w:rPr>
          <w:i/>
          <w:lang w:val="en-US"/>
        </w:rPr>
        <w:t xml:space="preserve">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rPr/>
    </w:pPr>
    <w:r>
      <w:rPr/>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Nagwek1"/>
      <w:numFmt w:val="decimal"/>
      <w:lvlText w:val="%1"/>
      <w:lvlJc w:val="left"/>
      <w:pPr>
        <w:ind w:left="432" w:hanging="432"/>
      </w:pPr>
    </w:lvl>
    <w:lvl w:ilvl="1">
      <w:start w:val="1"/>
      <w:pStyle w:val="Nagwek2"/>
      <w:numFmt w:val="decimal"/>
      <w:lvlText w:val="%1.%2"/>
      <w:lvlJc w:val="left"/>
      <w:pPr>
        <w:ind w:left="576" w:hanging="576"/>
      </w:pPr>
    </w:lvl>
    <w:lvl w:ilvl="2">
      <w:start w:val="1"/>
      <w:pStyle w:val="Nagwek3"/>
      <w:numFmt w:val="decimal"/>
      <w:lvlText w:val="%1.%2.%3"/>
      <w:lvlJc w:val="left"/>
      <w:pPr>
        <w:ind w:left="720" w:hanging="720"/>
      </w:pPr>
    </w:lvl>
    <w:lvl w:ilvl="3">
      <w:start w:val="1"/>
      <w:pStyle w:val="Nagwek4"/>
      <w:numFmt w:val="decimal"/>
      <w:lvlText w:val="%1.%2.%3.%4"/>
      <w:lvlJc w:val="left"/>
      <w:pPr>
        <w:ind w:left="864" w:hanging="864"/>
      </w:pPr>
    </w:lvl>
    <w:lvl w:ilvl="4">
      <w:start w:val="1"/>
      <w:pStyle w:val="Nagwek5"/>
      <w:numFmt w:val="decimal"/>
      <w:lvlText w:val="%1.%2.%3.%4.%5"/>
      <w:lvlJc w:val="left"/>
      <w:pPr>
        <w:ind w:left="1008" w:hanging="1008"/>
      </w:pPr>
    </w:lvl>
    <w:lvl w:ilvl="5">
      <w:start w:val="1"/>
      <w:pStyle w:val="Nagwek6"/>
      <w:numFmt w:val="decimal"/>
      <w:lvlText w:val="%1.%2.%3.%4.%5.%6"/>
      <w:lvlJc w:val="left"/>
      <w:pPr>
        <w:ind w:left="1152" w:hanging="1152"/>
      </w:pPr>
    </w:lvl>
    <w:lvl w:ilvl="6">
      <w:start w:val="1"/>
      <w:pStyle w:val="Nagwek7"/>
      <w:numFmt w:val="decimal"/>
      <w:lvlText w:val="%1.%2.%3.%4.%5.%6.%7"/>
      <w:lvlJc w:val="left"/>
      <w:pPr>
        <w:ind w:left="1296" w:hanging="1296"/>
      </w:pPr>
    </w:lvl>
    <w:lvl w:ilvl="7">
      <w:start w:val="1"/>
      <w:pStyle w:val="Nagwek8"/>
      <w:numFmt w:val="decimal"/>
      <w:lvlText w:val="%1.%2.%3.%4.%5.%6.%7.%8"/>
      <w:lvlJc w:val="left"/>
      <w:pPr>
        <w:ind w:left="1440" w:hanging="1440"/>
      </w:pPr>
    </w:lvl>
    <w:lvl w:ilvl="8">
      <w:start w:val="1"/>
      <w:pStyle w:val="Nagwek9"/>
      <w:numFmt w:val="decimal"/>
      <w:lvlText w:val="%1.%2.%3.%4.%5.%6.%7.%8.%9"/>
      <w:lvlJc w:val="left"/>
      <w:pPr>
        <w:ind w:left="1584" w:hanging="1584"/>
      </w:pPr>
    </w:lvl>
  </w:abstractNum>
  <w:abstractNum w:abstractNumI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lvl w:ilvl="0">
      <w:start w:val="1"/>
      <w:numFmt w:val="bullet"/>
      <w:lvlText w:val=""/>
      <w:lvlJc w:val="left"/>
      <w:pPr>
        <w:ind w:left="757" w:hanging="360"/>
      </w:pPr>
      <w:rPr>
        <w:rFonts w:ascii="Symbol" w:hAnsi="Symbol" w:cs="Symbol" w:hint="default"/>
      </w:rPr>
    </w:lvl>
    <w:lvl w:ilvl="1">
      <w:start w:val="1"/>
      <w:numFmt w:val="bullet"/>
      <w:lvlText w:val="o"/>
      <w:lvlJc w:val="left"/>
      <w:pPr>
        <w:ind w:left="1477" w:hanging="360"/>
      </w:pPr>
      <w:rPr>
        <w:rFonts w:ascii="Courier New" w:hAnsi="Courier New" w:cs="Courier New" w:hint="default"/>
        <w:rFonts w:cs="Courier New"/>
      </w:rPr>
    </w:lvl>
    <w:lvl w:ilvl="2">
      <w:start w:val="1"/>
      <w:numFmt w:val="bullet"/>
      <w:lvlText w:val=""/>
      <w:lvlJc w:val="left"/>
      <w:pPr>
        <w:ind w:left="2197" w:hanging="360"/>
      </w:pPr>
      <w:rPr>
        <w:rFonts w:ascii="Wingdings" w:hAnsi="Wingdings" w:cs="Wingdings" w:hint="default"/>
      </w:rPr>
    </w:lvl>
    <w:lvl w:ilvl="3">
      <w:start w:val="1"/>
      <w:numFmt w:val="bullet"/>
      <w:lvlText w:val=""/>
      <w:lvlJc w:val="left"/>
      <w:pPr>
        <w:ind w:left="2917" w:hanging="360"/>
      </w:pPr>
      <w:rPr>
        <w:rFonts w:ascii="Symbol" w:hAnsi="Symbol" w:cs="Symbol" w:hint="default"/>
      </w:rPr>
    </w:lvl>
    <w:lvl w:ilvl="4">
      <w:start w:val="1"/>
      <w:numFmt w:val="bullet"/>
      <w:lvlText w:val="o"/>
      <w:lvlJc w:val="left"/>
      <w:pPr>
        <w:ind w:left="3637" w:hanging="360"/>
      </w:pPr>
      <w:rPr>
        <w:rFonts w:ascii="Courier New" w:hAnsi="Courier New" w:cs="Courier New" w:hint="default"/>
        <w:rFonts w:cs="Courier New"/>
      </w:rPr>
    </w:lvl>
    <w:lvl w:ilvl="5">
      <w:start w:val="1"/>
      <w:numFmt w:val="bullet"/>
      <w:lvlText w:val=""/>
      <w:lvlJc w:val="left"/>
      <w:pPr>
        <w:ind w:left="4357" w:hanging="360"/>
      </w:pPr>
      <w:rPr>
        <w:rFonts w:ascii="Wingdings" w:hAnsi="Wingdings" w:cs="Wingdings" w:hint="default"/>
      </w:rPr>
    </w:lvl>
    <w:lvl w:ilvl="6">
      <w:start w:val="1"/>
      <w:numFmt w:val="bullet"/>
      <w:lvlText w:val=""/>
      <w:lvlJc w:val="left"/>
      <w:pPr>
        <w:ind w:left="5077" w:hanging="360"/>
      </w:pPr>
      <w:rPr>
        <w:rFonts w:ascii="Symbol" w:hAnsi="Symbol" w:cs="Symbol" w:hint="default"/>
      </w:rPr>
    </w:lvl>
    <w:lvl w:ilvl="7">
      <w:start w:val="1"/>
      <w:numFmt w:val="bullet"/>
      <w:lvlText w:val="o"/>
      <w:lvlJc w:val="left"/>
      <w:pPr>
        <w:ind w:left="5797" w:hanging="360"/>
      </w:pPr>
      <w:rPr>
        <w:rFonts w:ascii="Courier New" w:hAnsi="Courier New" w:cs="Courier New" w:hint="default"/>
        <w:rFonts w:cs="Courier New"/>
      </w:rPr>
    </w:lvl>
    <w:lvl w:ilvl="8">
      <w:start w:val="1"/>
      <w:numFmt w:val="bullet"/>
      <w:lvlText w:val=""/>
      <w:lvlJc w:val="left"/>
      <w:pPr>
        <w:ind w:left="6517" w:hanging="360"/>
      </w:pPr>
      <w:rPr>
        <w:rFonts w:ascii="Wingdings" w:hAnsi="Wingdings" w:cs="Wingdings" w:hint="default"/>
      </w:rPr>
    </w:lvl>
  </w:abstractNum>
  <w:abstractNum w:abstractNumId="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lvl w:ilvl="0">
      <w:start w:val="1"/>
      <w:numFmt w:val="lowerLetter"/>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6">
    <w:lvl w:ilvl="0">
      <w:start w:val="1"/>
      <w:numFmt w:val="lowerLetter"/>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7">
    <w:lvl w:ilvl="0">
      <w:start w:val="1"/>
      <w:numFmt w:val="lowerLetter"/>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8">
    <w:lvl w:ilvl="0">
      <w:start w:val="1"/>
      <w:numFmt w:val="lowerLetter"/>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9">
    <w:lvl w:ilvl="0">
      <w:start w:val="1"/>
      <w:numFmt w:val="lowerLetter"/>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1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lvl w:ilvl="0">
      <w:start w:val="1"/>
      <w:numFmt w:val="bullet"/>
      <w:lvlText w:val=""/>
      <w:lvlJc w:val="left"/>
      <w:pPr>
        <w:ind w:left="1080" w:hanging="360"/>
      </w:pPr>
      <w:rPr>
        <w:rFonts w:ascii="Symbol" w:hAnsi="Symbol" w:cs="Symbol" w:hint="default"/>
      </w:rPr>
    </w:lvl>
    <w:lvl w:ilvl="1">
      <w:start w:val="1"/>
      <w:numFmt w:val="bullet"/>
      <w:lvlText w:val="o"/>
      <w:lvlJc w:val="left"/>
      <w:pPr>
        <w:ind w:left="1800" w:hanging="360"/>
      </w:pPr>
      <w:rPr>
        <w:rFonts w:ascii="Courier New" w:hAnsi="Courier New" w:cs="Courier New" w:hint="default"/>
        <w:rFonts w:cs="Courier New"/>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Fonts w:cs="Courier New"/>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Fonts w:cs="Courier New"/>
      </w:rPr>
    </w:lvl>
    <w:lvl w:ilvl="8">
      <w:start w:val="1"/>
      <w:numFmt w:val="bullet"/>
      <w:lvlText w:val=""/>
      <w:lvlJc w:val="left"/>
      <w:pPr>
        <w:ind w:left="6840" w:hanging="360"/>
      </w:pPr>
      <w:rPr>
        <w:rFonts w:ascii="Wingdings" w:hAnsi="Wingdings" w:cs="Wingdings" w:hint="default"/>
      </w:rPr>
    </w:lvl>
  </w:abstractNum>
  <w:abstractNum w:abstractNumId="20">
    <w:lvl w:ilvl="0">
      <w:start w:val="1"/>
      <w:numFmt w:val="bullet"/>
      <w:lvlText w:val=""/>
      <w:lvlJc w:val="left"/>
      <w:pPr>
        <w:ind w:left="720" w:hanging="360"/>
      </w:pPr>
      <w:rPr>
        <w:rFonts w:ascii="Symbol" w:hAnsi="Symbol" w:cs="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lvl w:ilvl="0">
      <w:start w:val="1"/>
      <w:numFmt w:val="decimal"/>
      <w:lvlText w:val="%1."/>
      <w:lvlJc w:val="left"/>
      <w:pPr>
        <w:ind w:left="757" w:hanging="360"/>
      </w:pPr>
    </w:lvl>
    <w:lvl w:ilvl="1">
      <w:start w:val="1"/>
      <w:numFmt w:val="decimal"/>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24">
    <w:lvl w:ilvl="0">
      <w:start w:val="1"/>
      <w:numFmt w:val="decimal"/>
      <w:lvlText w:val="%1."/>
      <w:lvlJc w:val="left"/>
      <w:pPr>
        <w:ind w:left="757" w:hanging="360"/>
      </w:pPr>
    </w:lvl>
    <w:lvl w:ilvl="1">
      <w:start w:val="1"/>
      <w:numFmt w:val="decimal"/>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25">
    <w:lvl w:ilvl="0">
      <w:start w:val="1"/>
      <w:numFmt w:val="lowerLetter"/>
      <w:lvlText w:val="%1)"/>
      <w:lvlJc w:val="left"/>
      <w:pPr>
        <w:ind w:left="1117" w:hanging="360"/>
      </w:pPr>
    </w:lvl>
    <w:lvl w:ilvl="1">
      <w:start w:val="1"/>
      <w:numFmt w:val="decimal"/>
      <w:lvlText w:val="%2)"/>
      <w:lvlJc w:val="left"/>
      <w:pPr>
        <w:ind w:left="1837" w:hanging="360"/>
      </w:pPr>
      <w:rPr>
        <w:sz w:val="20"/>
      </w:rPr>
    </w:lvl>
    <w:lvl w:ilvl="2">
      <w:start w:val="1"/>
      <w:numFmt w:val="lowerRoman"/>
      <w:lvlText w:val="%3."/>
      <w:lvlJc w:val="right"/>
      <w:pPr>
        <w:ind w:left="2557" w:hanging="180"/>
      </w:pPr>
    </w:lvl>
    <w:lvl w:ilvl="3">
      <w:start w:val="1"/>
      <w:numFmt w:val="decimal"/>
      <w:lvlText w:val="%4."/>
      <w:lvlJc w:val="left"/>
      <w:pPr>
        <w:ind w:left="3277" w:hanging="360"/>
      </w:pPr>
    </w:lvl>
    <w:lvl w:ilvl="4">
      <w:start w:val="1"/>
      <w:numFmt w:val="lowerLetter"/>
      <w:lvlText w:val="%5."/>
      <w:lvlJc w:val="left"/>
      <w:pPr>
        <w:ind w:left="3997" w:hanging="360"/>
      </w:pPr>
    </w:lvl>
    <w:lvl w:ilvl="5">
      <w:start w:val="1"/>
      <w:numFmt w:val="lowerRoman"/>
      <w:lvlText w:val="%6."/>
      <w:lvlJc w:val="right"/>
      <w:pPr>
        <w:ind w:left="4717" w:hanging="180"/>
      </w:pPr>
    </w:lvl>
    <w:lvl w:ilvl="6">
      <w:start w:val="1"/>
      <w:numFmt w:val="decimal"/>
      <w:lvlText w:val="%7."/>
      <w:lvlJc w:val="left"/>
      <w:pPr>
        <w:ind w:left="5437" w:hanging="360"/>
      </w:pPr>
    </w:lvl>
    <w:lvl w:ilvl="7">
      <w:start w:val="1"/>
      <w:numFmt w:val="lowerLetter"/>
      <w:lvlText w:val="%8."/>
      <w:lvlJc w:val="left"/>
      <w:pPr>
        <w:ind w:left="6157" w:hanging="360"/>
      </w:pPr>
    </w:lvl>
    <w:lvl w:ilvl="8">
      <w:start w:val="1"/>
      <w:numFmt w:val="lowerRoman"/>
      <w:lvlText w:val="%9."/>
      <w:lvlJc w:val="right"/>
      <w:pPr>
        <w:ind w:left="6877" w:hanging="180"/>
      </w:pPr>
    </w:lvl>
  </w:abstractNum>
  <w:abstractNum w:abstractNumId="26">
    <w:lvl w:ilvl="0">
      <w:start w:val="1"/>
      <w:numFmt w:val="decimal"/>
      <w:lvlText w:val="%1."/>
      <w:lvlJc w:val="left"/>
      <w:pPr>
        <w:ind w:left="720" w:hanging="360"/>
      </w:pPr>
    </w:lvl>
    <w:lvl w:ilvl="1">
      <w:start w:val="2"/>
      <w:numFmt w:val="decimal"/>
      <w:lvlText w:val="%1.%2"/>
      <w:lvlJc w:val="left"/>
      <w:pPr>
        <w:ind w:left="757" w:hanging="360"/>
      </w:pPr>
    </w:lvl>
    <w:lvl w:ilvl="2">
      <w:start w:val="1"/>
      <w:numFmt w:val="decimal"/>
      <w:lvlText w:val="%1.%2.%3"/>
      <w:lvlJc w:val="left"/>
      <w:pPr>
        <w:ind w:left="1154" w:hanging="720"/>
      </w:pPr>
    </w:lvl>
    <w:lvl w:ilvl="3">
      <w:start w:val="1"/>
      <w:numFmt w:val="decimal"/>
      <w:lvlText w:val="%1.%2.%3.%4"/>
      <w:lvlJc w:val="left"/>
      <w:pPr>
        <w:ind w:left="1191" w:hanging="720"/>
      </w:pPr>
    </w:lvl>
    <w:lvl w:ilvl="4">
      <w:start w:val="1"/>
      <w:numFmt w:val="decimal"/>
      <w:lvlText w:val="%1.%2.%3.%4.%5"/>
      <w:lvlJc w:val="left"/>
      <w:pPr>
        <w:ind w:left="1588" w:hanging="1080"/>
      </w:pPr>
    </w:lvl>
    <w:lvl w:ilvl="5">
      <w:start w:val="1"/>
      <w:numFmt w:val="decimal"/>
      <w:lvlText w:val="%1.%2.%3.%4.%5.%6"/>
      <w:lvlJc w:val="left"/>
      <w:pPr>
        <w:ind w:left="1625" w:hanging="1080"/>
      </w:pPr>
    </w:lvl>
    <w:lvl w:ilvl="6">
      <w:start w:val="1"/>
      <w:numFmt w:val="decimal"/>
      <w:lvlText w:val="%1.%2.%3.%4.%5.%6.%7"/>
      <w:lvlJc w:val="left"/>
      <w:pPr>
        <w:ind w:left="2022" w:hanging="1440"/>
      </w:pPr>
    </w:lvl>
    <w:lvl w:ilvl="7">
      <w:start w:val="1"/>
      <w:numFmt w:val="decimal"/>
      <w:lvlText w:val="%1.%2.%3.%4.%5.%6.%7.%8"/>
      <w:lvlJc w:val="left"/>
      <w:pPr>
        <w:ind w:left="2059" w:hanging="1440"/>
      </w:pPr>
    </w:lvl>
    <w:lvl w:ilvl="8">
      <w:start w:val="1"/>
      <w:numFmt w:val="decimal"/>
      <w:lvlText w:val="%1.%2.%3.%4.%5.%6.%7.%8.%9"/>
      <w:lvlJc w:val="left"/>
      <w:pPr>
        <w:ind w:left="2456" w:hanging="1800"/>
      </w:pPr>
    </w:lvl>
  </w:abstractNum>
  <w:abstractNum w:abstractNumId="27">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lvl w:ilvl="0">
      <w:start w:val="1"/>
      <w:numFmt w:val="bullet"/>
      <w:lvlText w:val=""/>
      <w:lvlJc w:val="left"/>
      <w:pPr>
        <w:ind w:left="720" w:hanging="360"/>
      </w:pPr>
      <w:rPr>
        <w:rFonts w:ascii="Symbol" w:hAnsi="Symbol" w:cs="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lvl w:ilvl="0">
      <w:start w:val="1"/>
      <w:numFmt w:val="bullet"/>
      <w:lvlText w:val=""/>
      <w:lvlJc w:val="left"/>
      <w:pPr>
        <w:ind w:left="757" w:hanging="360"/>
      </w:pPr>
      <w:rPr>
        <w:rFonts w:ascii="Symbol" w:hAnsi="Symbol" w:cs="Symbol" w:hint="default"/>
      </w:rPr>
    </w:lvl>
    <w:lvl w:ilvl="1">
      <w:start w:val="1"/>
      <w:numFmt w:val="bullet"/>
      <w:lvlText w:val="o"/>
      <w:lvlJc w:val="left"/>
      <w:pPr>
        <w:ind w:left="1477" w:hanging="360"/>
      </w:pPr>
      <w:rPr>
        <w:rFonts w:ascii="Courier New" w:hAnsi="Courier New" w:cs="Courier New" w:hint="default"/>
        <w:rFonts w:cs="Courier New"/>
      </w:rPr>
    </w:lvl>
    <w:lvl w:ilvl="2">
      <w:start w:val="1"/>
      <w:numFmt w:val="bullet"/>
      <w:lvlText w:val=""/>
      <w:lvlJc w:val="left"/>
      <w:pPr>
        <w:ind w:left="2197" w:hanging="360"/>
      </w:pPr>
      <w:rPr>
        <w:rFonts w:ascii="Wingdings" w:hAnsi="Wingdings" w:cs="Wingdings" w:hint="default"/>
      </w:rPr>
    </w:lvl>
    <w:lvl w:ilvl="3">
      <w:start w:val="1"/>
      <w:numFmt w:val="bullet"/>
      <w:lvlText w:val=""/>
      <w:lvlJc w:val="left"/>
      <w:pPr>
        <w:ind w:left="2917" w:hanging="360"/>
      </w:pPr>
      <w:rPr>
        <w:rFonts w:ascii="Symbol" w:hAnsi="Symbol" w:cs="Symbol" w:hint="default"/>
      </w:rPr>
    </w:lvl>
    <w:lvl w:ilvl="4">
      <w:start w:val="1"/>
      <w:numFmt w:val="bullet"/>
      <w:lvlText w:val="o"/>
      <w:lvlJc w:val="left"/>
      <w:pPr>
        <w:ind w:left="3637" w:hanging="360"/>
      </w:pPr>
      <w:rPr>
        <w:rFonts w:ascii="Courier New" w:hAnsi="Courier New" w:cs="Courier New" w:hint="default"/>
        <w:rFonts w:cs="Courier New"/>
      </w:rPr>
    </w:lvl>
    <w:lvl w:ilvl="5">
      <w:start w:val="1"/>
      <w:numFmt w:val="bullet"/>
      <w:lvlText w:val=""/>
      <w:lvlJc w:val="left"/>
      <w:pPr>
        <w:ind w:left="4357" w:hanging="360"/>
      </w:pPr>
      <w:rPr>
        <w:rFonts w:ascii="Wingdings" w:hAnsi="Wingdings" w:cs="Wingdings" w:hint="default"/>
      </w:rPr>
    </w:lvl>
    <w:lvl w:ilvl="6">
      <w:start w:val="1"/>
      <w:numFmt w:val="bullet"/>
      <w:lvlText w:val=""/>
      <w:lvlJc w:val="left"/>
      <w:pPr>
        <w:ind w:left="5077" w:hanging="360"/>
      </w:pPr>
      <w:rPr>
        <w:rFonts w:ascii="Symbol" w:hAnsi="Symbol" w:cs="Symbol" w:hint="default"/>
      </w:rPr>
    </w:lvl>
    <w:lvl w:ilvl="7">
      <w:start w:val="1"/>
      <w:numFmt w:val="bullet"/>
      <w:lvlText w:val="o"/>
      <w:lvlJc w:val="left"/>
      <w:pPr>
        <w:ind w:left="5797" w:hanging="360"/>
      </w:pPr>
      <w:rPr>
        <w:rFonts w:ascii="Courier New" w:hAnsi="Courier New" w:cs="Courier New" w:hint="default"/>
        <w:rFonts w:cs="Courier New"/>
      </w:rPr>
    </w:lvl>
    <w:lvl w:ilvl="8">
      <w:start w:val="1"/>
      <w:numFmt w:val="bullet"/>
      <w:lvlText w:val=""/>
      <w:lvlJc w:val="left"/>
      <w:pPr>
        <w:ind w:left="6517" w:hanging="360"/>
      </w:pPr>
      <w:rPr>
        <w:rFonts w:ascii="Wingdings" w:hAnsi="Wingdings" w:cs="Wingdings" w:hint="default"/>
      </w:rPr>
    </w:lvl>
  </w:abstractNum>
  <w:abstractNum w:abstractNumId="36">
    <w:lvl w:ilvl="0">
      <w:start w:val="1"/>
      <w:numFmt w:val="lowerLetter"/>
      <w:lvlText w:val="%1)"/>
      <w:lvlJc w:val="left"/>
      <w:pPr>
        <w:ind w:left="1117" w:hanging="360"/>
      </w:pPr>
    </w:lvl>
    <w:lvl w:ilvl="1">
      <w:start w:val="1"/>
      <w:numFmt w:val="lowerLetter"/>
      <w:lvlText w:val="%2)"/>
      <w:lvlJc w:val="left"/>
      <w:pPr>
        <w:ind w:left="1837" w:hanging="360"/>
      </w:pPr>
    </w:lvl>
    <w:lvl w:ilvl="2">
      <w:start w:val="1"/>
      <w:numFmt w:val="lowerRoman"/>
      <w:lvlText w:val="%3."/>
      <w:lvlJc w:val="right"/>
      <w:pPr>
        <w:ind w:left="2557" w:hanging="180"/>
      </w:pPr>
    </w:lvl>
    <w:lvl w:ilvl="3">
      <w:start w:val="1"/>
      <w:numFmt w:val="decimal"/>
      <w:lvlText w:val="%4."/>
      <w:lvlJc w:val="left"/>
      <w:pPr>
        <w:ind w:left="3277" w:hanging="360"/>
      </w:pPr>
    </w:lvl>
    <w:lvl w:ilvl="4">
      <w:start w:val="1"/>
      <w:numFmt w:val="lowerLetter"/>
      <w:lvlText w:val="%5."/>
      <w:lvlJc w:val="left"/>
      <w:pPr>
        <w:ind w:left="3997" w:hanging="360"/>
      </w:pPr>
    </w:lvl>
    <w:lvl w:ilvl="5">
      <w:start w:val="1"/>
      <w:numFmt w:val="lowerRoman"/>
      <w:lvlText w:val="%6."/>
      <w:lvlJc w:val="right"/>
      <w:pPr>
        <w:ind w:left="4717" w:hanging="180"/>
      </w:pPr>
    </w:lvl>
    <w:lvl w:ilvl="6">
      <w:start w:val="1"/>
      <w:numFmt w:val="decimal"/>
      <w:lvlText w:val="%7."/>
      <w:lvlJc w:val="left"/>
      <w:pPr>
        <w:ind w:left="5437" w:hanging="360"/>
      </w:pPr>
    </w:lvl>
    <w:lvl w:ilvl="7">
      <w:start w:val="1"/>
      <w:numFmt w:val="lowerLetter"/>
      <w:lvlText w:val="%8."/>
      <w:lvlJc w:val="left"/>
      <w:pPr>
        <w:ind w:left="6157" w:hanging="360"/>
      </w:pPr>
    </w:lvl>
    <w:lvl w:ilvl="8">
      <w:start w:val="1"/>
      <w:numFmt w:val="lowerRoman"/>
      <w:lvlText w:val="%9."/>
      <w:lvlJc w:val="right"/>
      <w:pPr>
        <w:ind w:left="6877" w:hanging="180"/>
      </w:pPr>
    </w:lvl>
  </w:abstractNum>
  <w:abstractNum w:abstractNumId="37">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38">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39">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40">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lvl w:ilvl="0">
      <w:start w:val="1"/>
      <w:numFmt w:val="bullet"/>
      <w:lvlText w:val=""/>
      <w:lvlJc w:val="left"/>
      <w:pPr>
        <w:ind w:left="1069" w:hanging="360"/>
      </w:pPr>
      <w:rPr>
        <w:rFonts w:ascii="Wingdings" w:hAnsi="Wingdings" w:cs="Wingdings" w:hint="default"/>
      </w:rPr>
    </w:lvl>
    <w:lvl w:ilvl="1">
      <w:start w:val="1"/>
      <w:numFmt w:val="bullet"/>
      <w:lvlText w:val=""/>
      <w:lvlJc w:val="left"/>
      <w:pPr>
        <w:tabs>
          <w:tab w:val="num" w:pos="1789"/>
        </w:tabs>
        <w:ind w:left="1789" w:hanging="360"/>
      </w:pPr>
      <w:rPr>
        <w:rFonts w:ascii="Symbol" w:hAnsi="Symbol" w:cs="Symbol" w:hint="default"/>
      </w:rPr>
    </w:lvl>
    <w:lvl w:ilvl="2">
      <w:start w:val="1"/>
      <w:numFmt w:val="decimal"/>
      <w:lvlText w:val="%3."/>
      <w:lvlJc w:val="left"/>
      <w:pPr>
        <w:tabs>
          <w:tab w:val="num" w:pos="2509"/>
        </w:tabs>
        <w:ind w:left="2509" w:hanging="360"/>
      </w:pPr>
    </w:lvl>
    <w:lvl w:ilvl="3">
      <w:start w:val="1"/>
      <w:numFmt w:val="decimal"/>
      <w:lvlText w:val="%4."/>
      <w:lvlJc w:val="left"/>
      <w:pPr>
        <w:tabs>
          <w:tab w:val="num" w:pos="3229"/>
        </w:tabs>
        <w:ind w:left="3229" w:hanging="360"/>
      </w:pPr>
    </w:lvl>
    <w:lvl w:ilvl="4">
      <w:start w:val="1"/>
      <w:numFmt w:val="decimal"/>
      <w:lvlText w:val="%5."/>
      <w:lvlJc w:val="left"/>
      <w:pPr>
        <w:tabs>
          <w:tab w:val="num" w:pos="3949"/>
        </w:tabs>
        <w:ind w:left="3949" w:hanging="360"/>
      </w:pPr>
    </w:lvl>
    <w:lvl w:ilvl="5">
      <w:start w:val="1"/>
      <w:numFmt w:val="decimal"/>
      <w:lvlText w:val="%6."/>
      <w:lvlJc w:val="left"/>
      <w:pPr>
        <w:tabs>
          <w:tab w:val="num" w:pos="4669"/>
        </w:tabs>
        <w:ind w:left="4669" w:hanging="360"/>
      </w:pPr>
    </w:lvl>
    <w:lvl w:ilvl="6">
      <w:start w:val="1"/>
      <w:numFmt w:val="decimal"/>
      <w:lvlText w:val="%7."/>
      <w:lvlJc w:val="left"/>
      <w:pPr>
        <w:tabs>
          <w:tab w:val="num" w:pos="5389"/>
        </w:tabs>
        <w:ind w:left="5389" w:hanging="360"/>
      </w:pPr>
    </w:lvl>
    <w:lvl w:ilvl="7">
      <w:start w:val="1"/>
      <w:numFmt w:val="decimal"/>
      <w:lvlText w:val="%8."/>
      <w:lvlJc w:val="left"/>
      <w:pPr>
        <w:tabs>
          <w:tab w:val="num" w:pos="6109"/>
        </w:tabs>
        <w:ind w:left="6109" w:hanging="360"/>
      </w:pPr>
    </w:lvl>
    <w:lvl w:ilvl="8">
      <w:start w:val="1"/>
      <w:numFmt w:val="decimal"/>
      <w:lvlText w:val="%9."/>
      <w:lvlJc w:val="left"/>
      <w:pPr>
        <w:tabs>
          <w:tab w:val="num" w:pos="6829"/>
        </w:tabs>
        <w:ind w:left="6829" w:hanging="360"/>
      </w:pPr>
    </w:lvl>
  </w:abstractNum>
  <w:abstractNum w:abstractNumId="42">
    <w:lvl w:ilvl="0">
      <w:start w:val="1"/>
      <w:numFmt w:val="bullet"/>
      <w:lvlText w:val=""/>
      <w:lvlJc w:val="left"/>
      <w:pPr>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lvl w:ilvl="0">
      <w:start w:val="1"/>
      <w:numFmt w:val="lowerLetter"/>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44">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47">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48">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49">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50">
    <w:lvl w:ilvl="0">
      <w:start w:val="1"/>
      <w:numFmt w:val="lowerLetter"/>
      <w:lvlText w:val="%1)"/>
      <w:lvlJc w:val="left"/>
      <w:pPr>
        <w:ind w:left="1117" w:hanging="360"/>
      </w:pPr>
    </w:lvl>
    <w:lvl w:ilvl="1">
      <w:start w:val="1"/>
      <w:numFmt w:val="lowerLetter"/>
      <w:lvlText w:val="%2."/>
      <w:lvlJc w:val="left"/>
      <w:pPr>
        <w:ind w:left="1837" w:hanging="360"/>
      </w:pPr>
    </w:lvl>
    <w:lvl w:ilvl="2">
      <w:start w:val="1"/>
      <w:numFmt w:val="lowerRoman"/>
      <w:lvlText w:val="%3."/>
      <w:lvlJc w:val="right"/>
      <w:pPr>
        <w:ind w:left="2557" w:hanging="180"/>
      </w:pPr>
    </w:lvl>
    <w:lvl w:ilvl="3">
      <w:start w:val="1"/>
      <w:numFmt w:val="decimal"/>
      <w:lvlText w:val="%4."/>
      <w:lvlJc w:val="left"/>
      <w:pPr>
        <w:ind w:left="3277" w:hanging="360"/>
      </w:pPr>
    </w:lvl>
    <w:lvl w:ilvl="4">
      <w:start w:val="1"/>
      <w:numFmt w:val="lowerLetter"/>
      <w:lvlText w:val="%5."/>
      <w:lvlJc w:val="left"/>
      <w:pPr>
        <w:ind w:left="3997" w:hanging="360"/>
      </w:pPr>
    </w:lvl>
    <w:lvl w:ilvl="5">
      <w:start w:val="1"/>
      <w:numFmt w:val="lowerRoman"/>
      <w:lvlText w:val="%6."/>
      <w:lvlJc w:val="right"/>
      <w:pPr>
        <w:ind w:left="4717" w:hanging="180"/>
      </w:pPr>
    </w:lvl>
    <w:lvl w:ilvl="6">
      <w:start w:val="1"/>
      <w:numFmt w:val="decimal"/>
      <w:lvlText w:val="%7."/>
      <w:lvlJc w:val="left"/>
      <w:pPr>
        <w:ind w:left="5437" w:hanging="360"/>
      </w:pPr>
    </w:lvl>
    <w:lvl w:ilvl="7">
      <w:start w:val="1"/>
      <w:numFmt w:val="lowerLetter"/>
      <w:lvlText w:val="%8."/>
      <w:lvlJc w:val="left"/>
      <w:pPr>
        <w:ind w:left="6157" w:hanging="360"/>
      </w:pPr>
    </w:lvl>
    <w:lvl w:ilvl="8">
      <w:start w:val="1"/>
      <w:numFmt w:val="lowerRoman"/>
      <w:lvlText w:val="%9."/>
      <w:lvlJc w:val="right"/>
      <w:pPr>
        <w:ind w:left="6877" w:hanging="180"/>
      </w:pPr>
    </w:lvl>
  </w:abstractNum>
  <w:abstractNum w:abstractNumId="51">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5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3">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4">
    <w:lvl w:ilvl="0">
      <w:start w:val="1"/>
      <w:numFmt w:val="bullet"/>
      <w:lvlText w:val=""/>
      <w:lvlJc w:val="left"/>
      <w:pPr>
        <w:ind w:left="545" w:hanging="360"/>
      </w:pPr>
      <w:rPr>
        <w:rFonts w:ascii="Symbol" w:hAnsi="Symbol" w:cs="Symbol" w:hint="default"/>
      </w:rPr>
    </w:lvl>
    <w:lvl w:ilvl="1">
      <w:start w:val="1"/>
      <w:numFmt w:val="bullet"/>
      <w:lvlText w:val="o"/>
      <w:lvlJc w:val="left"/>
      <w:pPr>
        <w:ind w:left="1265" w:hanging="360"/>
      </w:pPr>
      <w:rPr>
        <w:rFonts w:ascii="Courier New" w:hAnsi="Courier New" w:cs="Courier New" w:hint="default"/>
        <w:rFonts w:cs="Courier New"/>
      </w:rPr>
    </w:lvl>
    <w:lvl w:ilvl="2">
      <w:start w:val="1"/>
      <w:numFmt w:val="bullet"/>
      <w:lvlText w:val=""/>
      <w:lvlJc w:val="left"/>
      <w:pPr>
        <w:ind w:left="1985" w:hanging="360"/>
      </w:pPr>
      <w:rPr>
        <w:rFonts w:ascii="Wingdings" w:hAnsi="Wingdings" w:cs="Wingdings" w:hint="default"/>
      </w:rPr>
    </w:lvl>
    <w:lvl w:ilvl="3">
      <w:start w:val="1"/>
      <w:numFmt w:val="bullet"/>
      <w:lvlText w:val=""/>
      <w:lvlJc w:val="left"/>
      <w:pPr>
        <w:ind w:left="2705" w:hanging="360"/>
      </w:pPr>
      <w:rPr>
        <w:rFonts w:ascii="Symbol" w:hAnsi="Symbol" w:cs="Symbol" w:hint="default"/>
      </w:rPr>
    </w:lvl>
    <w:lvl w:ilvl="4">
      <w:start w:val="1"/>
      <w:numFmt w:val="bullet"/>
      <w:lvlText w:val="o"/>
      <w:lvlJc w:val="left"/>
      <w:pPr>
        <w:ind w:left="3425" w:hanging="360"/>
      </w:pPr>
      <w:rPr>
        <w:rFonts w:ascii="Courier New" w:hAnsi="Courier New" w:cs="Courier New" w:hint="default"/>
        <w:rFonts w:cs="Courier New"/>
      </w:rPr>
    </w:lvl>
    <w:lvl w:ilvl="5">
      <w:start w:val="1"/>
      <w:numFmt w:val="bullet"/>
      <w:lvlText w:val=""/>
      <w:lvlJc w:val="left"/>
      <w:pPr>
        <w:ind w:left="4145" w:hanging="360"/>
      </w:pPr>
      <w:rPr>
        <w:rFonts w:ascii="Wingdings" w:hAnsi="Wingdings" w:cs="Wingdings" w:hint="default"/>
      </w:rPr>
    </w:lvl>
    <w:lvl w:ilvl="6">
      <w:start w:val="1"/>
      <w:numFmt w:val="bullet"/>
      <w:lvlText w:val=""/>
      <w:lvlJc w:val="left"/>
      <w:pPr>
        <w:ind w:left="4865" w:hanging="360"/>
      </w:pPr>
      <w:rPr>
        <w:rFonts w:ascii="Symbol" w:hAnsi="Symbol" w:cs="Symbol" w:hint="default"/>
      </w:rPr>
    </w:lvl>
    <w:lvl w:ilvl="7">
      <w:start w:val="1"/>
      <w:numFmt w:val="bullet"/>
      <w:lvlText w:val="o"/>
      <w:lvlJc w:val="left"/>
      <w:pPr>
        <w:ind w:left="5585" w:hanging="360"/>
      </w:pPr>
      <w:rPr>
        <w:rFonts w:ascii="Courier New" w:hAnsi="Courier New" w:cs="Courier New" w:hint="default"/>
        <w:rFonts w:cs="Courier New"/>
      </w:rPr>
    </w:lvl>
    <w:lvl w:ilvl="8">
      <w:start w:val="1"/>
      <w:numFmt w:val="bullet"/>
      <w:lvlText w:val=""/>
      <w:lvlJc w:val="left"/>
      <w:pPr>
        <w:ind w:left="6305" w:hanging="360"/>
      </w:pPr>
      <w:rPr>
        <w:rFonts w:ascii="Wingdings" w:hAnsi="Wingdings" w:cs="Wingdings" w:hint="default"/>
      </w:rPr>
    </w:lvl>
  </w:abstractNum>
  <w:abstractNum w:abstractNumId="55">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56">
    <w:lvl w:ilvl="0">
      <w:start w:val="1"/>
      <w:numFmt w:val="bullet"/>
      <w:lvlText w:val=""/>
      <w:lvlJc w:val="left"/>
      <w:pPr>
        <w:ind w:left="757" w:hanging="360"/>
      </w:pPr>
      <w:rPr>
        <w:rFonts w:ascii="Symbol" w:hAnsi="Symbol" w:cs="Symbol" w:hint="default"/>
      </w:rPr>
    </w:lvl>
    <w:lvl w:ilvl="1">
      <w:start w:val="1"/>
      <w:numFmt w:val="bullet"/>
      <w:lvlText w:val="o"/>
      <w:lvlJc w:val="left"/>
      <w:pPr>
        <w:ind w:left="1477" w:hanging="360"/>
      </w:pPr>
      <w:rPr>
        <w:rFonts w:ascii="Courier New" w:hAnsi="Courier New" w:cs="Courier New" w:hint="default"/>
        <w:rFonts w:cs="Courier New"/>
      </w:rPr>
    </w:lvl>
    <w:lvl w:ilvl="2">
      <w:start w:val="1"/>
      <w:numFmt w:val="bullet"/>
      <w:lvlText w:val=""/>
      <w:lvlJc w:val="left"/>
      <w:pPr>
        <w:ind w:left="2197" w:hanging="360"/>
      </w:pPr>
      <w:rPr>
        <w:rFonts w:ascii="Wingdings" w:hAnsi="Wingdings" w:cs="Wingdings" w:hint="default"/>
      </w:rPr>
    </w:lvl>
    <w:lvl w:ilvl="3">
      <w:start w:val="1"/>
      <w:numFmt w:val="bullet"/>
      <w:lvlText w:val=""/>
      <w:lvlJc w:val="left"/>
      <w:pPr>
        <w:ind w:left="2917" w:hanging="360"/>
      </w:pPr>
      <w:rPr>
        <w:rFonts w:ascii="Symbol" w:hAnsi="Symbol" w:cs="Symbol" w:hint="default"/>
      </w:rPr>
    </w:lvl>
    <w:lvl w:ilvl="4">
      <w:start w:val="1"/>
      <w:numFmt w:val="bullet"/>
      <w:lvlText w:val="o"/>
      <w:lvlJc w:val="left"/>
      <w:pPr>
        <w:ind w:left="3637" w:hanging="360"/>
      </w:pPr>
      <w:rPr>
        <w:rFonts w:ascii="Courier New" w:hAnsi="Courier New" w:cs="Courier New" w:hint="default"/>
        <w:rFonts w:cs="Courier New"/>
      </w:rPr>
    </w:lvl>
    <w:lvl w:ilvl="5">
      <w:start w:val="1"/>
      <w:numFmt w:val="bullet"/>
      <w:lvlText w:val=""/>
      <w:lvlJc w:val="left"/>
      <w:pPr>
        <w:ind w:left="4357" w:hanging="360"/>
      </w:pPr>
      <w:rPr>
        <w:rFonts w:ascii="Wingdings" w:hAnsi="Wingdings" w:cs="Wingdings" w:hint="default"/>
      </w:rPr>
    </w:lvl>
    <w:lvl w:ilvl="6">
      <w:start w:val="1"/>
      <w:numFmt w:val="bullet"/>
      <w:lvlText w:val=""/>
      <w:lvlJc w:val="left"/>
      <w:pPr>
        <w:ind w:left="5077" w:hanging="360"/>
      </w:pPr>
      <w:rPr>
        <w:rFonts w:ascii="Symbol" w:hAnsi="Symbol" w:cs="Symbol" w:hint="default"/>
      </w:rPr>
    </w:lvl>
    <w:lvl w:ilvl="7">
      <w:start w:val="1"/>
      <w:numFmt w:val="bullet"/>
      <w:lvlText w:val="o"/>
      <w:lvlJc w:val="left"/>
      <w:pPr>
        <w:ind w:left="5797" w:hanging="360"/>
      </w:pPr>
      <w:rPr>
        <w:rFonts w:ascii="Courier New" w:hAnsi="Courier New" w:cs="Courier New" w:hint="default"/>
        <w:rFonts w:cs="Courier New"/>
      </w:rPr>
    </w:lvl>
    <w:lvl w:ilvl="8">
      <w:start w:val="1"/>
      <w:numFmt w:val="bullet"/>
      <w:lvlText w:val=""/>
      <w:lvlJc w:val="left"/>
      <w:pPr>
        <w:ind w:left="6517" w:hanging="360"/>
      </w:pPr>
      <w:rPr>
        <w:rFonts w:ascii="Wingdings" w:hAnsi="Wingdings" w:cs="Wingdings" w:hint="default"/>
      </w:rPr>
    </w:lvl>
  </w:abstractNum>
  <w:abstractNum w:abstractNumId="5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3">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6">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7">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Fonts w:cs="Courier New"/>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Fonts w:cs="Courier New"/>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Fonts w:cs="Courier New"/>
      </w:rPr>
    </w:lvl>
    <w:lvl w:ilvl="8">
      <w:start w:val="1"/>
      <w:numFmt w:val="bullet"/>
      <w:lvlText w:val=""/>
      <w:lvlJc w:val="left"/>
      <w:pPr>
        <w:tabs>
          <w:tab w:val="num" w:pos="6480"/>
        </w:tabs>
        <w:ind w:left="6480" w:hanging="360"/>
      </w:pPr>
      <w:rPr>
        <w:rFonts w:ascii="Wingdings" w:hAnsi="Wingdings" w:cs="Wingdings" w:hint="default"/>
      </w:rPr>
    </w:lvl>
  </w:abstractNum>
  <w:abstractNum w:abstractNumId="68">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Fonts w:cs="Courier New"/>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Fonts w:cs="Courier New"/>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Fonts w:cs="Courier New"/>
      </w:rPr>
    </w:lvl>
    <w:lvl w:ilvl="8">
      <w:start w:val="1"/>
      <w:numFmt w:val="bullet"/>
      <w:lvlText w:val=""/>
      <w:lvlJc w:val="left"/>
      <w:pPr>
        <w:tabs>
          <w:tab w:val="num" w:pos="6480"/>
        </w:tabs>
        <w:ind w:left="6480" w:hanging="360"/>
      </w:pPr>
      <w:rPr>
        <w:rFonts w:ascii="Wingdings" w:hAnsi="Wingdings" w:cs="Wingdings" w:hint="default"/>
      </w:rPr>
    </w:lvl>
  </w:abstractNum>
  <w:abstractNum w:abstractNumId="69">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0">
    <w:lvl w:ilvl="0">
      <w:start w:val="1"/>
      <w:numFmt w:val="decimal"/>
      <w:lvlText w:val="%1."/>
      <w:lvlJc w:val="left"/>
      <w:pPr>
        <w:ind w:left="720" w:hanging="360"/>
      </w:pPr>
    </w:lvl>
    <w:lvl w:ilvl="1">
      <w:start w:val="1"/>
      <w:numFmt w:val="bullet"/>
      <w:lvlText w:val=""/>
      <w:lvlJc w:val="left"/>
      <w:pPr>
        <w:tabs>
          <w:tab w:val="num" w:pos="1440"/>
        </w:tabs>
        <w:ind w:left="1440" w:hanging="360"/>
      </w:pPr>
      <w:rPr>
        <w:rFonts w:ascii="Symbol" w:hAnsi="Symbol" w:cs="Symbol"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lvl w:ilvl="0">
      <w:start w:val="1"/>
      <w:numFmt w:val="bullet"/>
      <w:lvlText w:val=""/>
      <w:lvlJc w:val="left"/>
      <w:pPr>
        <w:ind w:left="757" w:hanging="360"/>
      </w:pPr>
      <w:rPr>
        <w:rFonts w:ascii="Symbol" w:hAnsi="Symbol" w:cs="Symbol" w:hint="default"/>
      </w:rPr>
    </w:lvl>
    <w:lvl w:ilvl="1">
      <w:start w:val="1"/>
      <w:numFmt w:val="bullet"/>
      <w:lvlText w:val="o"/>
      <w:lvlJc w:val="left"/>
      <w:pPr>
        <w:ind w:left="1477" w:hanging="360"/>
      </w:pPr>
      <w:rPr>
        <w:rFonts w:ascii="Courier New" w:hAnsi="Courier New" w:cs="Courier New" w:hint="default"/>
        <w:rFonts w:cs="Courier New"/>
      </w:rPr>
    </w:lvl>
    <w:lvl w:ilvl="2">
      <w:start w:val="1"/>
      <w:numFmt w:val="bullet"/>
      <w:lvlText w:val=""/>
      <w:lvlJc w:val="left"/>
      <w:pPr>
        <w:ind w:left="2197" w:hanging="360"/>
      </w:pPr>
      <w:rPr>
        <w:rFonts w:ascii="Wingdings" w:hAnsi="Wingdings" w:cs="Wingdings" w:hint="default"/>
      </w:rPr>
    </w:lvl>
    <w:lvl w:ilvl="3">
      <w:start w:val="1"/>
      <w:numFmt w:val="bullet"/>
      <w:lvlText w:val=""/>
      <w:lvlJc w:val="left"/>
      <w:pPr>
        <w:ind w:left="2917" w:hanging="360"/>
      </w:pPr>
      <w:rPr>
        <w:rFonts w:ascii="Symbol" w:hAnsi="Symbol" w:cs="Symbol" w:hint="default"/>
      </w:rPr>
    </w:lvl>
    <w:lvl w:ilvl="4">
      <w:start w:val="1"/>
      <w:numFmt w:val="bullet"/>
      <w:lvlText w:val="o"/>
      <w:lvlJc w:val="left"/>
      <w:pPr>
        <w:ind w:left="3637" w:hanging="360"/>
      </w:pPr>
      <w:rPr>
        <w:rFonts w:ascii="Courier New" w:hAnsi="Courier New" w:cs="Courier New" w:hint="default"/>
        <w:rFonts w:cs="Courier New"/>
      </w:rPr>
    </w:lvl>
    <w:lvl w:ilvl="5">
      <w:start w:val="1"/>
      <w:numFmt w:val="bullet"/>
      <w:lvlText w:val=""/>
      <w:lvlJc w:val="left"/>
      <w:pPr>
        <w:ind w:left="4357" w:hanging="360"/>
      </w:pPr>
      <w:rPr>
        <w:rFonts w:ascii="Wingdings" w:hAnsi="Wingdings" w:cs="Wingdings" w:hint="default"/>
      </w:rPr>
    </w:lvl>
    <w:lvl w:ilvl="6">
      <w:start w:val="1"/>
      <w:numFmt w:val="bullet"/>
      <w:lvlText w:val=""/>
      <w:lvlJc w:val="left"/>
      <w:pPr>
        <w:ind w:left="5077" w:hanging="360"/>
      </w:pPr>
      <w:rPr>
        <w:rFonts w:ascii="Symbol" w:hAnsi="Symbol" w:cs="Symbol" w:hint="default"/>
      </w:rPr>
    </w:lvl>
    <w:lvl w:ilvl="7">
      <w:start w:val="1"/>
      <w:numFmt w:val="bullet"/>
      <w:lvlText w:val="o"/>
      <w:lvlJc w:val="left"/>
      <w:pPr>
        <w:ind w:left="5797" w:hanging="360"/>
      </w:pPr>
      <w:rPr>
        <w:rFonts w:ascii="Courier New" w:hAnsi="Courier New" w:cs="Courier New" w:hint="default"/>
        <w:rFonts w:cs="Courier New"/>
      </w:rPr>
    </w:lvl>
    <w:lvl w:ilvl="8">
      <w:start w:val="1"/>
      <w:numFmt w:val="bullet"/>
      <w:lvlText w:val=""/>
      <w:lvlJc w:val="left"/>
      <w:pPr>
        <w:ind w:left="6517" w:hanging="360"/>
      </w:pPr>
      <w:rPr>
        <w:rFonts w:ascii="Wingdings" w:hAnsi="Wingdings" w:cs="Wingdings" w:hint="default"/>
      </w:rPr>
    </w:lvl>
  </w:abstractNum>
  <w:abstractNum w:abstractNumId="7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3">
    <w:lvl w:ilvl="0">
      <w:start w:val="1"/>
      <w:numFmt w:val="lowerLetter"/>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74">
    <w:lvl w:ilvl="0">
      <w:start w:val="1"/>
      <w:numFmt w:val="bullet"/>
      <w:lvlText w:val=""/>
      <w:lvlJc w:val="left"/>
      <w:pPr>
        <w:ind w:left="757" w:hanging="360"/>
      </w:pPr>
      <w:rPr>
        <w:rFonts w:ascii="Symbol" w:hAnsi="Symbol" w:cs="Symbol" w:hint="default"/>
      </w:rPr>
    </w:lvl>
    <w:lvl w:ilvl="1">
      <w:start w:val="1"/>
      <w:numFmt w:val="bullet"/>
      <w:lvlText w:val="o"/>
      <w:lvlJc w:val="left"/>
      <w:pPr>
        <w:ind w:left="1477" w:hanging="360"/>
      </w:pPr>
      <w:rPr>
        <w:rFonts w:ascii="Courier New" w:hAnsi="Courier New" w:cs="Courier New" w:hint="default"/>
        <w:rFonts w:cs="Courier New"/>
      </w:rPr>
    </w:lvl>
    <w:lvl w:ilvl="2">
      <w:start w:val="1"/>
      <w:numFmt w:val="bullet"/>
      <w:lvlText w:val=""/>
      <w:lvlJc w:val="left"/>
      <w:pPr>
        <w:ind w:left="2197" w:hanging="360"/>
      </w:pPr>
      <w:rPr>
        <w:rFonts w:ascii="Wingdings" w:hAnsi="Wingdings" w:cs="Wingdings" w:hint="default"/>
      </w:rPr>
    </w:lvl>
    <w:lvl w:ilvl="3">
      <w:start w:val="1"/>
      <w:numFmt w:val="bullet"/>
      <w:lvlText w:val=""/>
      <w:lvlJc w:val="left"/>
      <w:pPr>
        <w:ind w:left="2917" w:hanging="360"/>
      </w:pPr>
      <w:rPr>
        <w:rFonts w:ascii="Symbol" w:hAnsi="Symbol" w:cs="Symbol" w:hint="default"/>
      </w:rPr>
    </w:lvl>
    <w:lvl w:ilvl="4">
      <w:start w:val="1"/>
      <w:numFmt w:val="bullet"/>
      <w:lvlText w:val="o"/>
      <w:lvlJc w:val="left"/>
      <w:pPr>
        <w:ind w:left="3637" w:hanging="360"/>
      </w:pPr>
      <w:rPr>
        <w:rFonts w:ascii="Courier New" w:hAnsi="Courier New" w:cs="Courier New" w:hint="default"/>
        <w:rFonts w:cs="Courier New"/>
      </w:rPr>
    </w:lvl>
    <w:lvl w:ilvl="5">
      <w:start w:val="1"/>
      <w:numFmt w:val="bullet"/>
      <w:lvlText w:val=""/>
      <w:lvlJc w:val="left"/>
      <w:pPr>
        <w:ind w:left="4357" w:hanging="360"/>
      </w:pPr>
      <w:rPr>
        <w:rFonts w:ascii="Wingdings" w:hAnsi="Wingdings" w:cs="Wingdings" w:hint="default"/>
      </w:rPr>
    </w:lvl>
    <w:lvl w:ilvl="6">
      <w:start w:val="1"/>
      <w:numFmt w:val="bullet"/>
      <w:lvlText w:val=""/>
      <w:lvlJc w:val="left"/>
      <w:pPr>
        <w:ind w:left="5077" w:hanging="360"/>
      </w:pPr>
      <w:rPr>
        <w:rFonts w:ascii="Symbol" w:hAnsi="Symbol" w:cs="Symbol" w:hint="default"/>
      </w:rPr>
    </w:lvl>
    <w:lvl w:ilvl="7">
      <w:start w:val="1"/>
      <w:numFmt w:val="bullet"/>
      <w:lvlText w:val="o"/>
      <w:lvlJc w:val="left"/>
      <w:pPr>
        <w:ind w:left="5797" w:hanging="360"/>
      </w:pPr>
      <w:rPr>
        <w:rFonts w:ascii="Courier New" w:hAnsi="Courier New" w:cs="Courier New" w:hint="default"/>
        <w:rFonts w:cs="Courier New"/>
      </w:rPr>
    </w:lvl>
    <w:lvl w:ilvl="8">
      <w:start w:val="1"/>
      <w:numFmt w:val="bullet"/>
      <w:lvlText w:val=""/>
      <w:lvlJc w:val="left"/>
      <w:pPr>
        <w:ind w:left="6517" w:hanging="360"/>
      </w:pPr>
      <w:rPr>
        <w:rFonts w:ascii="Wingdings" w:hAnsi="Wingdings" w:cs="Wingdings" w:hint="default"/>
      </w:rPr>
    </w:lvl>
  </w:abstractNum>
  <w:abstractNum w:abstractNumId="75">
    <w:lvl w:ilvl="0">
      <w:start w:val="1"/>
      <w:numFmt w:val="bullet"/>
      <w:lvlText w:val=""/>
      <w:lvlJc w:val="left"/>
      <w:pPr>
        <w:ind w:left="757" w:hanging="360"/>
      </w:pPr>
      <w:rPr>
        <w:rFonts w:ascii="Symbol" w:hAnsi="Symbol" w:cs="Symbol" w:hint="default"/>
      </w:rPr>
    </w:lvl>
    <w:lvl w:ilvl="1">
      <w:start w:val="1"/>
      <w:numFmt w:val="bullet"/>
      <w:lvlText w:val="o"/>
      <w:lvlJc w:val="left"/>
      <w:pPr>
        <w:ind w:left="1477" w:hanging="360"/>
      </w:pPr>
      <w:rPr>
        <w:rFonts w:ascii="Courier New" w:hAnsi="Courier New" w:cs="Courier New" w:hint="default"/>
        <w:rFonts w:cs="Courier New"/>
      </w:rPr>
    </w:lvl>
    <w:lvl w:ilvl="2">
      <w:start w:val="1"/>
      <w:numFmt w:val="bullet"/>
      <w:lvlText w:val=""/>
      <w:lvlJc w:val="left"/>
      <w:pPr>
        <w:ind w:left="2197" w:hanging="360"/>
      </w:pPr>
      <w:rPr>
        <w:rFonts w:ascii="Wingdings" w:hAnsi="Wingdings" w:cs="Wingdings" w:hint="default"/>
      </w:rPr>
    </w:lvl>
    <w:lvl w:ilvl="3">
      <w:start w:val="1"/>
      <w:numFmt w:val="bullet"/>
      <w:lvlText w:val=""/>
      <w:lvlJc w:val="left"/>
      <w:pPr>
        <w:ind w:left="2917" w:hanging="360"/>
      </w:pPr>
      <w:rPr>
        <w:rFonts w:ascii="Symbol" w:hAnsi="Symbol" w:cs="Symbol" w:hint="default"/>
      </w:rPr>
    </w:lvl>
    <w:lvl w:ilvl="4">
      <w:start w:val="1"/>
      <w:numFmt w:val="bullet"/>
      <w:lvlText w:val="o"/>
      <w:lvlJc w:val="left"/>
      <w:pPr>
        <w:ind w:left="3637" w:hanging="360"/>
      </w:pPr>
      <w:rPr>
        <w:rFonts w:ascii="Courier New" w:hAnsi="Courier New" w:cs="Courier New" w:hint="default"/>
        <w:rFonts w:cs="Courier New"/>
      </w:rPr>
    </w:lvl>
    <w:lvl w:ilvl="5">
      <w:start w:val="1"/>
      <w:numFmt w:val="bullet"/>
      <w:lvlText w:val=""/>
      <w:lvlJc w:val="left"/>
      <w:pPr>
        <w:ind w:left="4357" w:hanging="360"/>
      </w:pPr>
      <w:rPr>
        <w:rFonts w:ascii="Wingdings" w:hAnsi="Wingdings" w:cs="Wingdings" w:hint="default"/>
      </w:rPr>
    </w:lvl>
    <w:lvl w:ilvl="6">
      <w:start w:val="1"/>
      <w:numFmt w:val="bullet"/>
      <w:lvlText w:val=""/>
      <w:lvlJc w:val="left"/>
      <w:pPr>
        <w:ind w:left="5077" w:hanging="360"/>
      </w:pPr>
      <w:rPr>
        <w:rFonts w:ascii="Symbol" w:hAnsi="Symbol" w:cs="Symbol" w:hint="default"/>
      </w:rPr>
    </w:lvl>
    <w:lvl w:ilvl="7">
      <w:start w:val="1"/>
      <w:numFmt w:val="bullet"/>
      <w:lvlText w:val="o"/>
      <w:lvlJc w:val="left"/>
      <w:pPr>
        <w:ind w:left="5797" w:hanging="360"/>
      </w:pPr>
      <w:rPr>
        <w:rFonts w:ascii="Courier New" w:hAnsi="Courier New" w:cs="Courier New" w:hint="default"/>
        <w:rFonts w:cs="Courier New"/>
      </w:rPr>
    </w:lvl>
    <w:lvl w:ilvl="8">
      <w:start w:val="1"/>
      <w:numFmt w:val="bullet"/>
      <w:lvlText w:val=""/>
      <w:lvlJc w:val="left"/>
      <w:pPr>
        <w:ind w:left="6517" w:hanging="360"/>
      </w:pPr>
      <w:rPr>
        <w:rFonts w:ascii="Wingdings" w:hAnsi="Wingdings" w:cs="Wingdings" w:hint="default"/>
      </w:rPr>
    </w:lvl>
  </w:abstractNum>
  <w:abstractNum w:abstractNumId="76">
    <w:lvl w:ilvl="0">
      <w:start w:val="1"/>
      <w:numFmt w:val="bullet"/>
      <w:lvlText w:val=""/>
      <w:lvlJc w:val="left"/>
      <w:pPr>
        <w:ind w:left="360" w:hanging="360"/>
      </w:pPr>
      <w:rPr>
        <w:rFonts w:ascii="Symbol" w:hAnsi="Symbol" w:cs="Symbol"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7">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bering>
</file>

<file path=word/settings.xml><?xml version="1.0" encoding="utf-8"?>
<w:settings xmlns:w="http://schemas.openxmlformats.org/wordprocessingml/2006/main">
  <w:zoom w:percent="110"/>
  <w:mirrorMargins/>
  <w:embedSystemFonts/>
  <w:defaultTabStop w:val="709"/>
  <w:evenAndOddHeaders/>
  <w:footnotePr>
    <w:numFmt w:val="decimal"/>
    <w:footnote w:id="0"/>
    <w:footnote w:id="1"/>
  </w:footnotePr>
  <w:compat>
    <w:compatSetting w:name="compatibilityMode" w:uri="http://schemas.microsoft.com/office/word" w:val="12"/>
  </w:compat>
  <w:themeFontLang w:val="pl-P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pl-PL" w:eastAsia="pl-PL" w:bidi="ar-SA"/>
      </w:rPr>
    </w:rPrDefault>
    <w:pPrDefault>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99" w:semiHidden="1" w:unhideWhenUsed="1"/>
    <w:lsdException w:name="annotation text" w:semiHidden="1" w:unhideWhenUsed="1"/>
    <w:lsdException w:name="header" w:semiHidden="1" w:unhideWhenUsed="1"/>
    <w:lsdException w:name="footer" w:uiPriority="99"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99"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7e40e8"/>
    <w:pPr>
      <w:widowControl/>
      <w:bidi w:val="0"/>
      <w:ind w:firstLine="397"/>
      <w:jc w:val="both"/>
    </w:pPr>
    <w:rPr>
      <w:rFonts w:ascii="Times New Roman" w:hAnsi="Times New Roman" w:eastAsia="Times New Roman" w:cs="Times New Roman"/>
      <w:color w:val="000000"/>
      <w:sz w:val="24"/>
      <w:szCs w:val="20"/>
      <w:lang w:val="pl-PL" w:eastAsia="pl-PL" w:bidi="ar-SA"/>
    </w:rPr>
  </w:style>
  <w:style w:type="paragraph" w:styleId="Nagwek1">
    <w:name w:val="Heading 1"/>
    <w:basedOn w:val="Normal"/>
    <w:link w:val="Nagwek1Znak"/>
    <w:autoRedefine/>
    <w:qFormat/>
    <w:rsid w:val="00ac7ac6"/>
    <w:pPr>
      <w:keepNext/>
      <w:numPr>
        <w:ilvl w:val="0"/>
        <w:numId w:val="1"/>
      </w:numPr>
      <w:spacing w:before="0" w:after="240"/>
      <w:jc w:val="left"/>
      <w:outlineLvl w:val="0"/>
      <w:outlineLvl w:val="0"/>
    </w:pPr>
    <w:rPr>
      <w:rFonts w:ascii="Arial" w:hAnsi="Arial"/>
      <w:b/>
      <w:bCs/>
    </w:rPr>
  </w:style>
  <w:style w:type="paragraph" w:styleId="Nagwek2">
    <w:name w:val="Heading 2"/>
    <w:basedOn w:val="Normal"/>
    <w:link w:val="Nagwek2Znak"/>
    <w:autoRedefine/>
    <w:qFormat/>
    <w:rsid w:val="00a75b3e"/>
    <w:pPr>
      <w:keepNext/>
      <w:numPr>
        <w:ilvl w:val="1"/>
        <w:numId w:val="1"/>
      </w:numPr>
      <w:spacing w:before="120" w:after="120"/>
      <w:ind w:left="578" w:hanging="578"/>
      <w:jc w:val="left"/>
      <w:outlineLvl w:val="1"/>
      <w:outlineLvl w:val="1"/>
    </w:pPr>
    <w:rPr>
      <w:rFonts w:ascii="Arial" w:hAnsi="Arial" w:cs="Arial"/>
      <w:b/>
      <w:sz w:val="22"/>
      <w:szCs w:val="22"/>
    </w:rPr>
  </w:style>
  <w:style w:type="paragraph" w:styleId="Nagwek3">
    <w:name w:val="Heading 3"/>
    <w:basedOn w:val="Normal"/>
    <w:autoRedefine/>
    <w:qFormat/>
    <w:rsid w:val="00a75b3e"/>
    <w:pPr>
      <w:keepNext/>
      <w:numPr>
        <w:ilvl w:val="2"/>
        <w:numId w:val="1"/>
      </w:numPr>
      <w:spacing w:before="120" w:after="120"/>
      <w:ind w:left="851" w:hanging="851"/>
      <w:jc w:val="left"/>
      <w:outlineLvl w:val="2"/>
      <w:outlineLvl w:val="2"/>
    </w:pPr>
    <w:rPr>
      <w:rFonts w:ascii="Arial" w:hAnsi="Arial" w:cs="Arial"/>
      <w:b/>
      <w:iCs/>
      <w:color w:val="00000A"/>
      <w:sz w:val="22"/>
      <w:szCs w:val="22"/>
    </w:rPr>
  </w:style>
  <w:style w:type="paragraph" w:styleId="Nagwek4">
    <w:name w:val="Heading 4"/>
    <w:basedOn w:val="Normal"/>
    <w:link w:val="Nagwek4Znak"/>
    <w:autoRedefine/>
    <w:qFormat/>
    <w:rsid w:val="00a75b3e"/>
    <w:pPr>
      <w:keepNext/>
      <w:numPr>
        <w:ilvl w:val="3"/>
        <w:numId w:val="1"/>
      </w:numPr>
      <w:spacing w:before="120" w:after="120"/>
      <w:ind w:left="992" w:hanging="992"/>
      <w:outlineLvl w:val="3"/>
      <w:outlineLvl w:val="3"/>
    </w:pPr>
    <w:rPr>
      <w:rFonts w:ascii="Arial" w:hAnsi="Arial"/>
      <w:b/>
      <w:color w:val="00000A"/>
      <w:sz w:val="22"/>
      <w:szCs w:val="24"/>
    </w:rPr>
  </w:style>
  <w:style w:type="paragraph" w:styleId="Nagwek5">
    <w:name w:val="Heading 5"/>
    <w:basedOn w:val="Normal"/>
    <w:link w:val="Nagwek5Znak"/>
    <w:autoRedefine/>
    <w:qFormat/>
    <w:rsid w:val="005831d6"/>
    <w:pPr>
      <w:keepNext/>
      <w:numPr>
        <w:ilvl w:val="4"/>
        <w:numId w:val="1"/>
      </w:numPr>
      <w:spacing w:before="120" w:after="120"/>
      <w:ind w:left="1077" w:hanging="1077"/>
      <w:outlineLvl w:val="4"/>
      <w:outlineLvl w:val="4"/>
    </w:pPr>
    <w:rPr>
      <w:rFonts w:ascii="Arial" w:hAnsi="Arial"/>
      <w:b/>
      <w:color w:val="00000A"/>
      <w:sz w:val="22"/>
      <w:szCs w:val="24"/>
    </w:rPr>
  </w:style>
  <w:style w:type="paragraph" w:styleId="Nagwek6">
    <w:name w:val="Heading 6"/>
    <w:basedOn w:val="Normal"/>
    <w:qFormat/>
    <w:rsid w:val="00cb6cc3"/>
    <w:pPr>
      <w:keepNext/>
      <w:numPr>
        <w:ilvl w:val="5"/>
        <w:numId w:val="1"/>
      </w:numPr>
      <w:outlineLvl w:val="5"/>
      <w:outlineLvl w:val="5"/>
    </w:pPr>
    <w:rPr>
      <w:rFonts w:ascii="Arial Narrow" w:hAnsi="Arial Narrow"/>
      <w:b/>
      <w:bCs/>
      <w:color w:val="00000A"/>
      <w:sz w:val="20"/>
      <w:szCs w:val="24"/>
    </w:rPr>
  </w:style>
  <w:style w:type="paragraph" w:styleId="Nagwek7">
    <w:name w:val="Heading 7"/>
    <w:basedOn w:val="Normal"/>
    <w:qFormat/>
    <w:rsid w:val="00cb6cc3"/>
    <w:pPr>
      <w:keepNext/>
      <w:numPr>
        <w:ilvl w:val="6"/>
        <w:numId w:val="1"/>
      </w:numPr>
      <w:outlineLvl w:val="6"/>
      <w:outlineLvl w:val="6"/>
    </w:pPr>
    <w:rPr>
      <w:b/>
      <w:color w:val="00000A"/>
    </w:rPr>
  </w:style>
  <w:style w:type="paragraph" w:styleId="Nagwek8">
    <w:name w:val="Heading 8"/>
    <w:basedOn w:val="Normal"/>
    <w:qFormat/>
    <w:rsid w:val="00cb6cc3"/>
    <w:pPr>
      <w:keepNext/>
      <w:numPr>
        <w:ilvl w:val="7"/>
        <w:numId w:val="1"/>
      </w:numPr>
      <w:outlineLvl w:val="7"/>
      <w:outlineLvl w:val="7"/>
    </w:pPr>
    <w:rPr>
      <w:b/>
      <w:i/>
      <w:color w:val="00000A"/>
    </w:rPr>
  </w:style>
  <w:style w:type="paragraph" w:styleId="Nagwek9">
    <w:name w:val="Heading 9"/>
    <w:basedOn w:val="Normal"/>
    <w:qFormat/>
    <w:rsid w:val="00cb6cc3"/>
    <w:pPr>
      <w:keepNext/>
      <w:numPr>
        <w:ilvl w:val="8"/>
        <w:numId w:val="1"/>
      </w:numPr>
      <w:jc w:val="center"/>
      <w:outlineLvl w:val="8"/>
      <w:outlineLvl w:val="8"/>
    </w:pPr>
    <w:rPr>
      <w:b/>
      <w:color w:val="00000A"/>
      <w:szCs w:val="24"/>
    </w:rPr>
  </w:style>
  <w:style w:type="character" w:styleId="DefaultParagraphFont" w:default="1">
    <w:name w:val="Default Paragraph Font"/>
    <w:uiPriority w:val="1"/>
    <w:semiHidden/>
    <w:unhideWhenUsed/>
    <w:qFormat/>
    <w:rPr/>
  </w:style>
  <w:style w:type="character" w:styleId="Pagenumber">
    <w:name w:val="page number"/>
    <w:basedOn w:val="DefaultParagraphFont"/>
    <w:qFormat/>
    <w:rsid w:val="00cb6cc3"/>
    <w:rPr/>
  </w:style>
  <w:style w:type="character" w:styleId="Footnotereference">
    <w:name w:val="footnote reference"/>
    <w:uiPriority w:val="99"/>
    <w:qFormat/>
    <w:rsid w:val="00cb6cc3"/>
    <w:rPr>
      <w:vertAlign w:val="superscript"/>
    </w:rPr>
  </w:style>
  <w:style w:type="character" w:styleId="Czeinternetowe">
    <w:name w:val="Łącze internetowe"/>
    <w:uiPriority w:val="99"/>
    <w:rsid w:val="00cb6cc3"/>
    <w:rPr>
      <w:color w:val="0000FF"/>
      <w:u w:val="single"/>
    </w:rPr>
  </w:style>
  <w:style w:type="character" w:styleId="FollowedHyperlink">
    <w:name w:val="FollowedHyperlink"/>
    <w:qFormat/>
    <w:rsid w:val="00cb6cc3"/>
    <w:rPr>
      <w:color w:val="800080"/>
      <w:u w:val="single"/>
    </w:rPr>
  </w:style>
  <w:style w:type="character" w:styleId="Strong">
    <w:name w:val="Strong"/>
    <w:uiPriority w:val="22"/>
    <w:qFormat/>
    <w:rsid w:val="00a0693a"/>
    <w:rPr>
      <w:b/>
      <w:bCs/>
    </w:rPr>
  </w:style>
  <w:style w:type="character" w:styleId="Endnotereference">
    <w:name w:val="endnote reference"/>
    <w:semiHidden/>
    <w:qFormat/>
    <w:rsid w:val="004f2326"/>
    <w:rPr>
      <w:vertAlign w:val="superscript"/>
    </w:rPr>
  </w:style>
  <w:style w:type="character" w:styleId="Appleconvertedspace" w:customStyle="1">
    <w:name w:val="apple-converted-space"/>
    <w:basedOn w:val="DefaultParagraphFont"/>
    <w:qFormat/>
    <w:rsid w:val="00cc283e"/>
    <w:rPr/>
  </w:style>
  <w:style w:type="character" w:styleId="TekstpodstawowyZnak" w:customStyle="1">
    <w:name w:val="Tekst podstawowy Znak"/>
    <w:link w:val="Tekstpodstawowy"/>
    <w:qFormat/>
    <w:rsid w:val="001b0e62"/>
    <w:rPr>
      <w:rFonts w:ascii="Tahoma" w:hAnsi="Tahoma"/>
      <w:color w:val="000000"/>
      <w:sz w:val="22"/>
    </w:rPr>
  </w:style>
  <w:style w:type="character" w:styleId="Tekstpodstawowy2Znak" w:customStyle="1">
    <w:name w:val="Tekst podstawowy 2 Znak"/>
    <w:link w:val="Tekstpodstawowy2"/>
    <w:qFormat/>
    <w:rsid w:val="001b0e62"/>
    <w:rPr>
      <w:rFonts w:ascii="Tahoma" w:hAnsi="Tahoma"/>
      <w:color w:val="000000"/>
      <w:sz w:val="22"/>
    </w:rPr>
  </w:style>
  <w:style w:type="character" w:styleId="Tekstpodstawowy3Znak" w:customStyle="1">
    <w:name w:val="Tekst podstawowy 3 Znak"/>
    <w:link w:val="Tekstpodstawowy3"/>
    <w:qFormat/>
    <w:rsid w:val="001b0e62"/>
    <w:rPr>
      <w:rFonts w:ascii="Tahoma" w:hAnsi="Tahoma"/>
      <w:b/>
      <w:color w:val="000000"/>
      <w:sz w:val="22"/>
    </w:rPr>
  </w:style>
  <w:style w:type="character" w:styleId="StopkaZnak" w:customStyle="1">
    <w:name w:val="Stopka Znak"/>
    <w:link w:val="Stopka"/>
    <w:uiPriority w:val="99"/>
    <w:qFormat/>
    <w:rsid w:val="007813d4"/>
    <w:rPr>
      <w:rFonts w:ascii="Tahoma" w:hAnsi="Tahoma"/>
      <w:color w:val="000000"/>
      <w:sz w:val="22"/>
    </w:rPr>
  </w:style>
  <w:style w:type="character" w:styleId="TekstprzypisudolnegoZnak" w:customStyle="1">
    <w:name w:val="Tekst przypisu dolnego Znak"/>
    <w:link w:val="Tekstprzypisudolnego"/>
    <w:uiPriority w:val="99"/>
    <w:qFormat/>
    <w:rsid w:val="005a0266"/>
    <w:rPr>
      <w:rFonts w:ascii="Tahoma" w:hAnsi="Tahoma"/>
      <w:color w:val="000000"/>
    </w:rPr>
  </w:style>
  <w:style w:type="character" w:styleId="Tabulatory" w:customStyle="1">
    <w:name w:val="tabulatory"/>
    <w:basedOn w:val="DefaultParagraphFont"/>
    <w:qFormat/>
    <w:rsid w:val="007749d0"/>
    <w:rPr/>
  </w:style>
  <w:style w:type="character" w:styleId="Annotationreference">
    <w:name w:val="annotation reference"/>
    <w:semiHidden/>
    <w:unhideWhenUsed/>
    <w:qFormat/>
    <w:rsid w:val="00bd7484"/>
    <w:rPr>
      <w:sz w:val="16"/>
      <w:szCs w:val="16"/>
    </w:rPr>
  </w:style>
  <w:style w:type="character" w:styleId="TekstkomentarzaZnak" w:customStyle="1">
    <w:name w:val="Tekst komentarza Znak"/>
    <w:link w:val="Tekstkomentarza"/>
    <w:qFormat/>
    <w:rsid w:val="00bd7484"/>
    <w:rPr>
      <w:rFonts w:ascii="Tahoma" w:hAnsi="Tahoma"/>
      <w:color w:val="000000"/>
    </w:rPr>
  </w:style>
  <w:style w:type="character" w:styleId="TematkomentarzaZnak" w:customStyle="1">
    <w:name w:val="Temat komentarza Znak"/>
    <w:link w:val="Tematkomentarza"/>
    <w:uiPriority w:val="99"/>
    <w:semiHidden/>
    <w:qFormat/>
    <w:rsid w:val="00bd7484"/>
    <w:rPr>
      <w:rFonts w:ascii="Tahoma" w:hAnsi="Tahoma"/>
      <w:b/>
      <w:bCs/>
      <w:color w:val="000000"/>
    </w:rPr>
  </w:style>
  <w:style w:type="character" w:styleId="Nagwek2Znak" w:customStyle="1">
    <w:name w:val="Nagłówek 2 Znak"/>
    <w:link w:val="Nagwek2"/>
    <w:qFormat/>
    <w:rsid w:val="00a75b3e"/>
    <w:rPr>
      <w:rFonts w:ascii="Arial" w:hAnsi="Arial" w:cs="Arial"/>
      <w:b/>
      <w:color w:val="000000"/>
      <w:sz w:val="22"/>
      <w:szCs w:val="22"/>
    </w:rPr>
  </w:style>
  <w:style w:type="character" w:styleId="Nagwek1Znak" w:customStyle="1">
    <w:name w:val="Nagłówek 1 Znak"/>
    <w:link w:val="Nagwek1"/>
    <w:qFormat/>
    <w:rsid w:val="00ac7ac6"/>
    <w:rPr>
      <w:rFonts w:ascii="Arial" w:hAnsi="Arial"/>
      <w:b/>
      <w:bCs/>
      <w:color w:val="000000"/>
      <w:sz w:val="24"/>
    </w:rPr>
  </w:style>
  <w:style w:type="character" w:styleId="Wyrnienie">
    <w:name w:val="Wyróżnienie"/>
    <w:qFormat/>
    <w:rsid w:val="007d1877"/>
    <w:rPr>
      <w:i/>
      <w:iCs/>
    </w:rPr>
  </w:style>
  <w:style w:type="character" w:styleId="Alb" w:customStyle="1">
    <w:name w:val="a_lb"/>
    <w:qFormat/>
    <w:rsid w:val="00b305c3"/>
    <w:rPr/>
  </w:style>
  <w:style w:type="character" w:styleId="Albs" w:customStyle="1">
    <w:name w:val="a_lb-s"/>
    <w:qFormat/>
    <w:rsid w:val="00b305c3"/>
    <w:rPr/>
  </w:style>
  <w:style w:type="character" w:styleId="Ngbinding" w:customStyle="1">
    <w:name w:val="ng-binding"/>
    <w:qFormat/>
    <w:rsid w:val="009d1c02"/>
    <w:rPr/>
  </w:style>
  <w:style w:type="character" w:styleId="Fnref" w:customStyle="1">
    <w:name w:val="fn-ref"/>
    <w:qFormat/>
    <w:rsid w:val="00c95405"/>
    <w:rPr/>
  </w:style>
  <w:style w:type="character" w:styleId="Textjustify1" w:customStyle="1">
    <w:name w:val="text-justify1"/>
    <w:qFormat/>
    <w:rsid w:val="00c95405"/>
    <w:rPr/>
  </w:style>
  <w:style w:type="character" w:styleId="ZwykytekstZnak" w:customStyle="1">
    <w:name w:val="Zwykły tekst Znak"/>
    <w:link w:val="Zwykytekst"/>
    <w:qFormat/>
    <w:rsid w:val="00b20d48"/>
    <w:rPr>
      <w:rFonts w:ascii="Courier New" w:hAnsi="Courier New" w:cs="Courier New"/>
    </w:rPr>
  </w:style>
  <w:style w:type="character" w:styleId="TytutabeliZnak" w:customStyle="1">
    <w:name w:val="Tytuł tabeli Znak"/>
    <w:link w:val="Tytutabeli"/>
    <w:qFormat/>
    <w:rsid w:val="003c72e3"/>
    <w:rPr>
      <w:b/>
      <w:i/>
      <w:color w:val="000000"/>
      <w:sz w:val="22"/>
      <w:szCs w:val="24"/>
    </w:rPr>
  </w:style>
  <w:style w:type="character" w:styleId="TekstdymkaZnak" w:customStyle="1">
    <w:name w:val="Tekst dymka Znak"/>
    <w:link w:val="Tekstdymka"/>
    <w:uiPriority w:val="99"/>
    <w:semiHidden/>
    <w:qFormat/>
    <w:rsid w:val="00084a21"/>
    <w:rPr>
      <w:rFonts w:cs="Tahoma"/>
      <w:color w:val="000000"/>
      <w:sz w:val="16"/>
      <w:szCs w:val="16"/>
    </w:rPr>
  </w:style>
  <w:style w:type="character" w:styleId="TekstZnak" w:customStyle="1">
    <w:name w:val="Tekst Znak"/>
    <w:link w:val="Tekst"/>
    <w:uiPriority w:val="99"/>
    <w:qFormat/>
    <w:locked/>
    <w:rsid w:val="00084a21"/>
    <w:rPr>
      <w:sz w:val="24"/>
    </w:rPr>
  </w:style>
  <w:style w:type="character" w:styleId="Nagwek4Znak" w:customStyle="1">
    <w:name w:val="Nagłówek 4 Znak"/>
    <w:link w:val="Nagwek4"/>
    <w:qFormat/>
    <w:rsid w:val="00a75b3e"/>
    <w:rPr>
      <w:rFonts w:ascii="Arial" w:hAnsi="Arial"/>
      <w:b/>
      <w:sz w:val="22"/>
      <w:szCs w:val="24"/>
    </w:rPr>
  </w:style>
  <w:style w:type="character" w:styleId="Punktowaniel1Znak1" w:customStyle="1">
    <w:name w:val="Punktowaniel1 Znak1"/>
    <w:link w:val="Punktowaniel1"/>
    <w:uiPriority w:val="99"/>
    <w:qFormat/>
    <w:locked/>
    <w:rsid w:val="00084a21"/>
    <w:rPr>
      <w:sz w:val="24"/>
      <w:szCs w:val="24"/>
    </w:rPr>
  </w:style>
  <w:style w:type="character" w:styleId="FootnoteCharacters" w:customStyle="1">
    <w:name w:val="Footnote Characters"/>
    <w:uiPriority w:val="99"/>
    <w:qFormat/>
    <w:rsid w:val="00084a21"/>
    <w:rPr>
      <w:vertAlign w:val="superscript"/>
    </w:rPr>
  </w:style>
  <w:style w:type="character" w:styleId="Odwoanieprzypisudolnego1" w:customStyle="1">
    <w:name w:val="Odwołanie przypisu dolnego1"/>
    <w:uiPriority w:val="99"/>
    <w:qFormat/>
    <w:rsid w:val="00084a21"/>
    <w:rPr>
      <w:vertAlign w:val="superscript"/>
    </w:rPr>
  </w:style>
  <w:style w:type="character" w:styleId="Znakiprzypiswdolnych" w:customStyle="1">
    <w:name w:val="Znaki przypisów dolnych"/>
    <w:uiPriority w:val="99"/>
    <w:qFormat/>
    <w:rsid w:val="00084a21"/>
    <w:rPr>
      <w:vertAlign w:val="superscript"/>
    </w:rPr>
  </w:style>
  <w:style w:type="character" w:styleId="H2" w:customStyle="1">
    <w:name w:val="h2"/>
    <w:uiPriority w:val="99"/>
    <w:qFormat/>
    <w:rsid w:val="00084a21"/>
    <w:rPr>
      <w:rFonts w:cs="Times New Roman"/>
    </w:rPr>
  </w:style>
  <w:style w:type="character" w:styleId="Flagicon" w:customStyle="1">
    <w:name w:val="flagicon"/>
    <w:qFormat/>
    <w:rsid w:val="00084a21"/>
    <w:rPr/>
  </w:style>
  <w:style w:type="character" w:styleId="Coordinates" w:customStyle="1">
    <w:name w:val="coordinates"/>
    <w:qFormat/>
    <w:rsid w:val="00084a21"/>
    <w:rPr/>
  </w:style>
  <w:style w:type="character" w:styleId="Geodms" w:customStyle="1">
    <w:name w:val="geo-dms"/>
    <w:qFormat/>
    <w:rsid w:val="00084a21"/>
    <w:rPr/>
  </w:style>
  <w:style w:type="character" w:styleId="Latitude" w:customStyle="1">
    <w:name w:val="latitude"/>
    <w:qFormat/>
    <w:rsid w:val="00084a21"/>
    <w:rPr/>
  </w:style>
  <w:style w:type="character" w:styleId="Longitude" w:customStyle="1">
    <w:name w:val="longitude"/>
    <w:qFormat/>
    <w:rsid w:val="00084a21"/>
    <w:rPr/>
  </w:style>
  <w:style w:type="character" w:styleId="TekstprzypisukocowegoZnak" w:customStyle="1">
    <w:name w:val="Tekst przypisu końcowego Znak"/>
    <w:link w:val="Tekstprzypisukocowego"/>
    <w:uiPriority w:val="99"/>
    <w:semiHidden/>
    <w:qFormat/>
    <w:rsid w:val="00084a21"/>
    <w:rPr>
      <w:color w:val="000000"/>
    </w:rPr>
  </w:style>
  <w:style w:type="character" w:styleId="NagwekZnak" w:customStyle="1">
    <w:name w:val="Nagłówek Znak"/>
    <w:link w:val="Nagwek"/>
    <w:qFormat/>
    <w:rsid w:val="00084a21"/>
    <w:rPr>
      <w:color w:val="000000"/>
      <w:sz w:val="24"/>
    </w:rPr>
  </w:style>
  <w:style w:type="character" w:styleId="Nagwek5Znak" w:customStyle="1">
    <w:name w:val="Nagłówek 5 Znak"/>
    <w:link w:val="Nagwek5"/>
    <w:qFormat/>
    <w:rsid w:val="005831d6"/>
    <w:rPr>
      <w:rFonts w:ascii="Arial" w:hAnsi="Arial"/>
      <w:b/>
      <w:sz w:val="22"/>
      <w:szCs w:val="24"/>
    </w:rPr>
  </w:style>
  <w:style w:type="character" w:styleId="Mininaglowek" w:customStyle="1">
    <w:name w:val="mininaglowek"/>
    <w:qFormat/>
    <w:rsid w:val="00084a21"/>
    <w:rPr/>
  </w:style>
  <w:style w:type="character" w:styleId="PodpisrysunkuZnak" w:customStyle="1">
    <w:name w:val="Podpis rysunku Znak"/>
    <w:link w:val="Podpisrysunku"/>
    <w:qFormat/>
    <w:rsid w:val="00131df2"/>
    <w:rPr>
      <w:b/>
      <w:i/>
      <w:color w:val="000000"/>
      <w:sz w:val="22"/>
    </w:rPr>
  </w:style>
  <w:style w:type="character" w:styleId="Namelatin" w:customStyle="1">
    <w:name w:val="name-latin"/>
    <w:qFormat/>
    <w:rsid w:val="0002306c"/>
    <w:rPr/>
  </w:style>
  <w:style w:type="character" w:styleId="APODPISTABELIZnak" w:customStyle="1">
    <w:name w:val="a_PODPIS_TABELI Znak"/>
    <w:link w:val="aPODPISTABELI"/>
    <w:qFormat/>
    <w:rsid w:val="00776601"/>
    <w:rPr>
      <w:b/>
      <w:bCs/>
      <w:i/>
      <w:sz w:val="24"/>
    </w:rPr>
  </w:style>
  <w:style w:type="character" w:styleId="LegendaZnak" w:customStyle="1">
    <w:name w:val="Legenda Znak"/>
    <w:link w:val="Legenda"/>
    <w:qFormat/>
    <w:rsid w:val="00fa50a7"/>
    <w:rPr>
      <w:b/>
      <w:bCs/>
      <w:i/>
      <w:color w:val="000000"/>
      <w:sz w:val="22"/>
    </w:rPr>
  </w:style>
  <w:style w:type="character" w:styleId="Stopekdolny" w:customStyle="1">
    <w:name w:val="stopek dolny"/>
    <w:qFormat/>
    <w:rsid w:val="005c08bf"/>
    <w:rPr>
      <w:color w:val="000000"/>
    </w:rPr>
  </w:style>
  <w:style w:type="character" w:styleId="Stopekgrny" w:customStyle="1">
    <w:name w:val="stopek górny"/>
    <w:qFormat/>
    <w:rsid w:val="005c08bf"/>
    <w:rPr>
      <w:color w:val="000000"/>
    </w:rPr>
  </w:style>
  <w:style w:type="character" w:styleId="HTMLCite">
    <w:name w:val="HTML Cite"/>
    <w:qFormat/>
    <w:rsid w:val="005c08bf"/>
    <w:rPr>
      <w:i/>
      <w:iCs/>
    </w:rPr>
  </w:style>
  <w:style w:type="character" w:styleId="Podkrelenie" w:customStyle="1">
    <w:name w:val="Podkreślenie"/>
    <w:qFormat/>
    <w:rsid w:val="005c08bf"/>
    <w:rPr>
      <w:color w:val="00000A"/>
      <w:sz w:val="26"/>
      <w:u w:val="single"/>
    </w:rPr>
  </w:style>
  <w:style w:type="character" w:styleId="NormalnyWebZnak" w:customStyle="1">
    <w:name w:val="Normalny (Web) Znak"/>
    <w:link w:val="NormalnyWeb"/>
    <w:qFormat/>
    <w:rsid w:val="005c08bf"/>
    <w:rPr>
      <w:sz w:val="24"/>
      <w:szCs w:val="24"/>
    </w:rPr>
  </w:style>
  <w:style w:type="character" w:styleId="ZnakZnak1" w:customStyle="1">
    <w:name w:val="Znak Znak1"/>
    <w:qFormat/>
    <w:locked/>
    <w:rsid w:val="005c08bf"/>
    <w:rPr>
      <w:sz w:val="24"/>
      <w:szCs w:val="24"/>
      <w:lang w:val="pl-PL" w:eastAsia="pl-PL" w:bidi="ar-SA"/>
    </w:rPr>
  </w:style>
  <w:style w:type="character" w:styleId="H1" w:customStyle="1">
    <w:name w:val="h1"/>
    <w:basedOn w:val="DefaultParagraphFont"/>
    <w:qFormat/>
    <w:rsid w:val="00b763e8"/>
    <w:rPr/>
  </w:style>
  <w:style w:type="character" w:styleId="ListLabel1">
    <w:name w:val="ListLabel 1"/>
    <w:qFormat/>
    <w:rPr>
      <w:rFonts w:cs="Courier New"/>
    </w:rPr>
  </w:style>
  <w:style w:type="character" w:styleId="ListLabel2">
    <w:name w:val="ListLabel 2"/>
    <w:qFormat/>
    <w:rPr>
      <w:rFonts w:cs="Courier New"/>
    </w:rPr>
  </w:style>
  <w:style w:type="character" w:styleId="ListLabel3">
    <w:name w:val="ListLabel 3"/>
    <w:qFormat/>
    <w:rPr>
      <w:rFonts w:cs="Courier New"/>
    </w:rPr>
  </w:style>
  <w:style w:type="character" w:styleId="ListLabel4">
    <w:name w:val="ListLabel 4"/>
    <w:qFormat/>
    <w:rPr>
      <w:rFonts w:cs="Courier New"/>
    </w:rPr>
  </w:style>
  <w:style w:type="character" w:styleId="ListLabel5">
    <w:name w:val="ListLabel 5"/>
    <w:qFormat/>
    <w:rPr>
      <w:rFonts w:cs="Courier New"/>
    </w:rPr>
  </w:style>
  <w:style w:type="character" w:styleId="ListLabel6">
    <w:name w:val="ListLabel 6"/>
    <w:qFormat/>
    <w:rPr>
      <w:rFonts w:cs="Courier New"/>
    </w:rPr>
  </w:style>
  <w:style w:type="character" w:styleId="ListLabel7">
    <w:name w:val="ListLabel 7"/>
    <w:qFormat/>
    <w:rPr>
      <w:sz w:val="20"/>
    </w:rPr>
  </w:style>
  <w:style w:type="character" w:styleId="ListLabel8">
    <w:name w:val="ListLabel 8"/>
    <w:qFormat/>
    <w:rPr>
      <w:rFonts w:cs="Courier New"/>
    </w:rPr>
  </w:style>
  <w:style w:type="character" w:styleId="ListLabel9">
    <w:name w:val="ListLabel 9"/>
    <w:qFormat/>
    <w:rPr>
      <w:rFonts w:cs="Courier New"/>
    </w:rPr>
  </w:style>
  <w:style w:type="character" w:styleId="ListLabel10">
    <w:name w:val="ListLabel 10"/>
    <w:qFormat/>
    <w:rPr>
      <w:rFonts w:cs="Courier New"/>
    </w:rPr>
  </w:style>
  <w:style w:type="character" w:styleId="ListLabel11">
    <w:name w:val="ListLabel 11"/>
    <w:qFormat/>
    <w:rPr>
      <w:rFonts w:cs="Courier New"/>
    </w:rPr>
  </w:style>
  <w:style w:type="character" w:styleId="ListLabel12">
    <w:name w:val="ListLabel 12"/>
    <w:qFormat/>
    <w:rPr>
      <w:rFonts w:cs="Courier New"/>
    </w:rPr>
  </w:style>
  <w:style w:type="character" w:styleId="ListLabel13">
    <w:name w:val="ListLabel 13"/>
    <w:qFormat/>
    <w:rPr>
      <w:rFonts w:cs="Courier New"/>
    </w:rPr>
  </w:style>
  <w:style w:type="character" w:styleId="ListLabel14">
    <w:name w:val="ListLabel 14"/>
    <w:qFormat/>
    <w:rPr>
      <w:rFonts w:cs="Courier New"/>
    </w:rPr>
  </w:style>
  <w:style w:type="character" w:styleId="ListLabel15">
    <w:name w:val="ListLabel 15"/>
    <w:qFormat/>
    <w:rPr>
      <w:rFonts w:cs="Courier New"/>
    </w:rPr>
  </w:style>
  <w:style w:type="character" w:styleId="ListLabel16">
    <w:name w:val="ListLabel 16"/>
    <w:qFormat/>
    <w:rPr>
      <w:rFonts w:cs="Courier New"/>
    </w:rPr>
  </w:style>
  <w:style w:type="character" w:styleId="ListLabel17">
    <w:name w:val="ListLabel 17"/>
    <w:qFormat/>
    <w:rPr>
      <w:rFonts w:cs="Courier New"/>
    </w:rPr>
  </w:style>
  <w:style w:type="character" w:styleId="ListLabel18">
    <w:name w:val="ListLabel 18"/>
    <w:qFormat/>
    <w:rPr>
      <w:rFonts w:cs="Courier New"/>
    </w:rPr>
  </w:style>
  <w:style w:type="character" w:styleId="ListLabel19">
    <w:name w:val="ListLabel 19"/>
    <w:qFormat/>
    <w:rPr>
      <w:rFonts w:cs="Courier New"/>
    </w:rPr>
  </w:style>
  <w:style w:type="character" w:styleId="ListLabel20">
    <w:name w:val="ListLabel 20"/>
    <w:qFormat/>
    <w:rPr>
      <w:rFonts w:cs="Courier New"/>
    </w:rPr>
  </w:style>
  <w:style w:type="character" w:styleId="ListLabel21">
    <w:name w:val="ListLabel 21"/>
    <w:qFormat/>
    <w:rPr>
      <w:rFonts w:cs="Courier New"/>
    </w:rPr>
  </w:style>
  <w:style w:type="character" w:styleId="ListLabel22">
    <w:name w:val="ListLabel 22"/>
    <w:qFormat/>
    <w:rPr>
      <w:rFonts w:cs="Courier New"/>
    </w:rPr>
  </w:style>
  <w:style w:type="character" w:styleId="ListLabel23">
    <w:name w:val="ListLabel 23"/>
    <w:qFormat/>
    <w:rPr>
      <w:rFonts w:cs="Courier New"/>
    </w:rPr>
  </w:style>
  <w:style w:type="character" w:styleId="ListLabel24">
    <w:name w:val="ListLabel 24"/>
    <w:qFormat/>
    <w:rPr>
      <w:rFonts w:cs="Courier New"/>
    </w:rPr>
  </w:style>
  <w:style w:type="character" w:styleId="ListLabel25">
    <w:name w:val="ListLabel 25"/>
    <w:qFormat/>
    <w:rPr>
      <w:rFonts w:cs="Courier New"/>
    </w:rPr>
  </w:style>
  <w:style w:type="character" w:styleId="ListLabel26">
    <w:name w:val="ListLabel 26"/>
    <w:qFormat/>
    <w:rPr>
      <w:rFonts w:cs="Courier New"/>
    </w:rPr>
  </w:style>
  <w:style w:type="character" w:styleId="ListLabel27">
    <w:name w:val="ListLabel 27"/>
    <w:qFormat/>
    <w:rPr>
      <w:rFonts w:cs="Courier New"/>
    </w:rPr>
  </w:style>
  <w:style w:type="character" w:styleId="ListLabel28">
    <w:name w:val="ListLabel 28"/>
    <w:qFormat/>
    <w:rPr>
      <w:rFonts w:cs="Courier New"/>
    </w:rPr>
  </w:style>
  <w:style w:type="character" w:styleId="ListLabel29">
    <w:name w:val="ListLabel 29"/>
    <w:qFormat/>
    <w:rPr>
      <w:rFonts w:cs="Courier New"/>
    </w:rPr>
  </w:style>
  <w:style w:type="character" w:styleId="ListLabel30">
    <w:name w:val="ListLabel 30"/>
    <w:qFormat/>
    <w:rPr>
      <w:rFonts w:cs="Courier New"/>
    </w:rPr>
  </w:style>
  <w:style w:type="character" w:styleId="ListLabel31">
    <w:name w:val="ListLabel 31"/>
    <w:qFormat/>
    <w:rPr>
      <w:rFonts w:cs="Courier New"/>
    </w:rPr>
  </w:style>
  <w:style w:type="character" w:styleId="ListLabel32">
    <w:name w:val="ListLabel 32"/>
    <w:qFormat/>
    <w:rPr>
      <w:sz w:val="20"/>
    </w:rPr>
  </w:style>
  <w:style w:type="character" w:styleId="ListLabel33">
    <w:name w:val="ListLabel 33"/>
    <w:qFormat/>
    <w:rPr>
      <w:rFonts w:cs="Courier New"/>
    </w:rPr>
  </w:style>
  <w:style w:type="character" w:styleId="ListLabel34">
    <w:name w:val="ListLabel 34"/>
    <w:qFormat/>
    <w:rPr>
      <w:rFonts w:cs="Courier New"/>
    </w:rPr>
  </w:style>
  <w:style w:type="character" w:styleId="ListLabel35">
    <w:name w:val="ListLabel 35"/>
    <w:qFormat/>
    <w:rPr>
      <w:rFonts w:cs="Courier New"/>
    </w:rPr>
  </w:style>
  <w:style w:type="character" w:styleId="ListLabel36">
    <w:name w:val="ListLabel 36"/>
    <w:qFormat/>
    <w:rPr>
      <w:rFonts w:cs="Courier New"/>
    </w:rPr>
  </w:style>
  <w:style w:type="character" w:styleId="ListLabel37">
    <w:name w:val="ListLabel 37"/>
    <w:qFormat/>
    <w:rPr>
      <w:rFonts w:cs="Courier New"/>
    </w:rPr>
  </w:style>
  <w:style w:type="character" w:styleId="ListLabel38">
    <w:name w:val="ListLabel 38"/>
    <w:qFormat/>
    <w:rPr>
      <w:rFonts w:cs="Courier New"/>
    </w:rPr>
  </w:style>
  <w:style w:type="character" w:styleId="ListLabel39">
    <w:name w:val="ListLabel 39"/>
    <w:qFormat/>
    <w:rPr>
      <w:rFonts w:cs="Courier New"/>
    </w:rPr>
  </w:style>
  <w:style w:type="character" w:styleId="ListLabel40">
    <w:name w:val="ListLabel 40"/>
    <w:qFormat/>
    <w:rPr>
      <w:rFonts w:cs="Courier New"/>
    </w:rPr>
  </w:style>
  <w:style w:type="character" w:styleId="ListLabel41">
    <w:name w:val="ListLabel 41"/>
    <w:qFormat/>
    <w:rPr>
      <w:rFonts w:cs="Courier New"/>
    </w:rPr>
  </w:style>
  <w:style w:type="character" w:styleId="ListLabel42">
    <w:name w:val="ListLabel 42"/>
    <w:qFormat/>
    <w:rPr>
      <w:rFonts w:cs="Courier New"/>
    </w:rPr>
  </w:style>
  <w:style w:type="character" w:styleId="ListLabel43">
    <w:name w:val="ListLabel 43"/>
    <w:qFormat/>
    <w:rPr>
      <w:rFonts w:cs="Courier New"/>
    </w:rPr>
  </w:style>
  <w:style w:type="character" w:styleId="ListLabel44">
    <w:name w:val="ListLabel 44"/>
    <w:qFormat/>
    <w:rPr>
      <w:rFonts w:cs="Courier New"/>
    </w:rPr>
  </w:style>
  <w:style w:type="character" w:styleId="ListLabel45">
    <w:name w:val="ListLabel 45"/>
    <w:qFormat/>
    <w:rPr>
      <w:rFonts w:cs="Courier New"/>
    </w:rPr>
  </w:style>
  <w:style w:type="character" w:styleId="ListLabel46">
    <w:name w:val="ListLabel 46"/>
    <w:qFormat/>
    <w:rPr>
      <w:rFonts w:cs="Courier New"/>
    </w:rPr>
  </w:style>
  <w:style w:type="character" w:styleId="ListLabel47">
    <w:name w:val="ListLabel 47"/>
    <w:qFormat/>
    <w:rPr>
      <w:rFonts w:cs="Courier New"/>
    </w:rPr>
  </w:style>
  <w:style w:type="character" w:styleId="Czeindeksu">
    <w:name w:val="Łącze indeksu"/>
    <w:qFormat/>
    <w:rPr/>
  </w:style>
  <w:style w:type="character" w:styleId="Zakotwiczenieprzypisudolnego">
    <w:name w:val="Zakotwiczenie przypisu dolnego"/>
    <w:rPr>
      <w:vertAlign w:val="superscript"/>
    </w:rPr>
  </w:style>
  <w:style w:type="character" w:styleId="Zakotwiczenieprzypisukocowego">
    <w:name w:val="Zakotwiczenie przypisu końcowego"/>
    <w:rPr>
      <w:vertAlign w:val="superscript"/>
    </w:rPr>
  </w:style>
  <w:style w:type="character" w:styleId="Znakiprzypiswkocowych">
    <w:name w:val="Znaki przypisów końcowych"/>
    <w:qFormat/>
    <w:rPr/>
  </w:style>
  <w:style w:type="paragraph" w:styleId="Nagwek">
    <w:name w:val="Nagłówek"/>
    <w:basedOn w:val="Normal"/>
    <w:next w:val="Tretekstu"/>
    <w:qFormat/>
    <w:pPr>
      <w:keepNext/>
      <w:spacing w:before="240" w:after="120"/>
    </w:pPr>
    <w:rPr>
      <w:rFonts w:ascii="Liberation Sans" w:hAnsi="Liberation Sans" w:eastAsia="Microsoft YaHei" w:cs="Arial"/>
      <w:sz w:val="28"/>
      <w:szCs w:val="28"/>
    </w:rPr>
  </w:style>
  <w:style w:type="paragraph" w:styleId="Tretekstu">
    <w:name w:val="Body Text"/>
    <w:basedOn w:val="Normal"/>
    <w:link w:val="TekstpodstawowyZnak"/>
    <w:rsid w:val="00cb6cc3"/>
    <w:pPr>
      <w:jc w:val="center"/>
    </w:pPr>
    <w:rPr/>
  </w:style>
  <w:style w:type="paragraph" w:styleId="Lista">
    <w:name w:val="List"/>
    <w:basedOn w:val="Tretekstu"/>
    <w:pPr/>
    <w:rPr>
      <w:rFonts w:cs="Arial"/>
    </w:rPr>
  </w:style>
  <w:style w:type="paragraph" w:styleId="Podpis">
    <w:name w:val="Caption"/>
    <w:basedOn w:val="Normal"/>
    <w:qFormat/>
    <w:pPr>
      <w:suppressLineNumbers/>
      <w:spacing w:before="120" w:after="120"/>
    </w:pPr>
    <w:rPr>
      <w:rFonts w:cs="Arial"/>
      <w:i/>
      <w:iCs/>
      <w:sz w:val="24"/>
      <w:szCs w:val="24"/>
    </w:rPr>
  </w:style>
  <w:style w:type="paragraph" w:styleId="Indeks">
    <w:name w:val="Indeks"/>
    <w:basedOn w:val="Normal"/>
    <w:qFormat/>
    <w:pPr>
      <w:suppressLineNumbers/>
    </w:pPr>
    <w:rPr>
      <w:rFonts w:cs="Arial"/>
    </w:rPr>
  </w:style>
  <w:style w:type="paragraph" w:styleId="Stopka">
    <w:name w:val="Footer"/>
    <w:basedOn w:val="Normal"/>
    <w:link w:val="StopkaZnak"/>
    <w:uiPriority w:val="99"/>
    <w:rsid w:val="00cb6cc3"/>
    <w:pPr>
      <w:tabs>
        <w:tab w:val="center" w:pos="4536" w:leader="none"/>
        <w:tab w:val="right" w:pos="9072" w:leader="none"/>
      </w:tabs>
    </w:pPr>
    <w:rPr/>
  </w:style>
  <w:style w:type="paragraph" w:styleId="BodyText2">
    <w:name w:val="Body Text 2"/>
    <w:basedOn w:val="Normal"/>
    <w:link w:val="Tekstpodstawowy2Znak"/>
    <w:qFormat/>
    <w:rsid w:val="00cb6cc3"/>
    <w:pPr/>
    <w:rPr/>
  </w:style>
  <w:style w:type="paragraph" w:styleId="BodyText3">
    <w:name w:val="Body Text 3"/>
    <w:basedOn w:val="Normal"/>
    <w:link w:val="Tekstpodstawowy3Znak"/>
    <w:qFormat/>
    <w:rsid w:val="00cb6cc3"/>
    <w:pPr/>
    <w:rPr>
      <w:b/>
    </w:rPr>
  </w:style>
  <w:style w:type="paragraph" w:styleId="Tytu">
    <w:name w:val="Title"/>
    <w:basedOn w:val="Normal"/>
    <w:qFormat/>
    <w:rsid w:val="00cb6cc3"/>
    <w:pPr>
      <w:spacing w:lineRule="auto" w:line="300"/>
      <w:jc w:val="center"/>
      <w:outlineLvl w:val="0"/>
    </w:pPr>
    <w:rPr>
      <w:rFonts w:ascii="Comic Sans MS" w:hAnsi="Comic Sans MS"/>
      <w:b/>
      <w:smallCaps/>
      <w:color w:val="00000A"/>
      <w:sz w:val="30"/>
    </w:rPr>
  </w:style>
  <w:style w:type="paragraph" w:styleId="Footnotetext">
    <w:name w:val="footnote text"/>
    <w:basedOn w:val="Normal"/>
    <w:link w:val="TekstprzypisudolnegoZnak"/>
    <w:uiPriority w:val="99"/>
    <w:qFormat/>
    <w:rsid w:val="00cb6cc3"/>
    <w:pPr/>
    <w:rPr>
      <w:sz w:val="20"/>
    </w:rPr>
  </w:style>
  <w:style w:type="paragraph" w:styleId="Spistreci1">
    <w:name w:val="TOC 1"/>
    <w:basedOn w:val="Normal"/>
    <w:autoRedefine/>
    <w:uiPriority w:val="39"/>
    <w:rsid w:val="00be3552"/>
    <w:pPr>
      <w:tabs>
        <w:tab w:val="left" w:pos="426" w:leader="none"/>
        <w:tab w:val="right" w:pos="9356" w:leader="dot"/>
      </w:tabs>
      <w:spacing w:before="20" w:after="20"/>
      <w:ind w:left="425" w:right="-2" w:hanging="425"/>
    </w:pPr>
    <w:rPr>
      <w:rFonts w:ascii="Arial" w:hAnsi="Arial" w:cs="Arial"/>
      <w:color w:val="00000A"/>
      <w:sz w:val="20"/>
    </w:rPr>
  </w:style>
  <w:style w:type="paragraph" w:styleId="Spistreci2">
    <w:name w:val="TOC 2"/>
    <w:basedOn w:val="Normal"/>
    <w:autoRedefine/>
    <w:uiPriority w:val="39"/>
    <w:rsid w:val="00cb6cc3"/>
    <w:pPr>
      <w:ind w:left="220" w:firstLine="397"/>
    </w:pPr>
    <w:rPr/>
  </w:style>
  <w:style w:type="paragraph" w:styleId="Spistreci3">
    <w:name w:val="TOC 3"/>
    <w:basedOn w:val="Normal"/>
    <w:autoRedefine/>
    <w:uiPriority w:val="39"/>
    <w:rsid w:val="00cb6cc3"/>
    <w:pPr>
      <w:ind w:left="440" w:firstLine="397"/>
    </w:pPr>
    <w:rPr/>
  </w:style>
  <w:style w:type="paragraph" w:styleId="Spistreci4">
    <w:name w:val="TOC 4"/>
    <w:basedOn w:val="Normal"/>
    <w:autoRedefine/>
    <w:uiPriority w:val="39"/>
    <w:rsid w:val="00cb6cc3"/>
    <w:pPr>
      <w:ind w:left="660" w:firstLine="397"/>
    </w:pPr>
    <w:rPr/>
  </w:style>
  <w:style w:type="paragraph" w:styleId="Spistreci5">
    <w:name w:val="TOC 5"/>
    <w:basedOn w:val="Normal"/>
    <w:autoRedefine/>
    <w:uiPriority w:val="39"/>
    <w:rsid w:val="00cb6cc3"/>
    <w:pPr>
      <w:ind w:left="880" w:firstLine="397"/>
    </w:pPr>
    <w:rPr/>
  </w:style>
  <w:style w:type="paragraph" w:styleId="Spistreci6">
    <w:name w:val="TOC 6"/>
    <w:basedOn w:val="Normal"/>
    <w:autoRedefine/>
    <w:uiPriority w:val="39"/>
    <w:rsid w:val="00cb6cc3"/>
    <w:pPr>
      <w:ind w:left="1100" w:firstLine="397"/>
    </w:pPr>
    <w:rPr/>
  </w:style>
  <w:style w:type="paragraph" w:styleId="Spistreci7">
    <w:name w:val="TOC 7"/>
    <w:basedOn w:val="Normal"/>
    <w:autoRedefine/>
    <w:uiPriority w:val="39"/>
    <w:rsid w:val="00cb6cc3"/>
    <w:pPr>
      <w:ind w:left="1320" w:firstLine="397"/>
    </w:pPr>
    <w:rPr/>
  </w:style>
  <w:style w:type="paragraph" w:styleId="Spistreci8">
    <w:name w:val="TOC 8"/>
    <w:basedOn w:val="Normal"/>
    <w:autoRedefine/>
    <w:uiPriority w:val="39"/>
    <w:rsid w:val="00cb6cc3"/>
    <w:pPr>
      <w:ind w:left="1540" w:firstLine="397"/>
    </w:pPr>
    <w:rPr/>
  </w:style>
  <w:style w:type="paragraph" w:styleId="Spistreci9">
    <w:name w:val="TOC 9"/>
    <w:basedOn w:val="Normal"/>
    <w:autoRedefine/>
    <w:uiPriority w:val="39"/>
    <w:rsid w:val="00cb6cc3"/>
    <w:pPr>
      <w:ind w:left="1760" w:firstLine="397"/>
    </w:pPr>
    <w:rPr/>
  </w:style>
  <w:style w:type="paragraph" w:styleId="Wcicietrecitekstu">
    <w:name w:val="Body Text Indent"/>
    <w:basedOn w:val="Normal"/>
    <w:rsid w:val="00cb6cc3"/>
    <w:pPr>
      <w:ind w:firstLine="708"/>
    </w:pPr>
    <w:rPr>
      <w:color w:val="00000A"/>
    </w:rPr>
  </w:style>
  <w:style w:type="paragraph" w:styleId="Gwka">
    <w:name w:val="Header"/>
    <w:basedOn w:val="Normal"/>
    <w:link w:val="NagwekZnak"/>
    <w:rsid w:val="00cb6cc3"/>
    <w:pPr>
      <w:tabs>
        <w:tab w:val="center" w:pos="4536" w:leader="none"/>
        <w:tab w:val="right" w:pos="9072" w:leader="none"/>
      </w:tabs>
    </w:pPr>
    <w:rPr/>
  </w:style>
  <w:style w:type="paragraph" w:styleId="BodyTextIndent2">
    <w:name w:val="Body Text Indent 2"/>
    <w:basedOn w:val="Normal"/>
    <w:qFormat/>
    <w:rsid w:val="00cb6cc3"/>
    <w:pPr>
      <w:ind w:firstLine="708"/>
    </w:pPr>
    <w:rPr/>
  </w:style>
  <w:style w:type="paragraph" w:styleId="BodyTextIndent3">
    <w:name w:val="Body Text Indent 3"/>
    <w:basedOn w:val="Normal"/>
    <w:qFormat/>
    <w:rsid w:val="00cb6cc3"/>
    <w:pPr>
      <w:ind w:firstLine="708"/>
    </w:pPr>
    <w:rPr/>
  </w:style>
  <w:style w:type="paragraph" w:styleId="Styl1" w:customStyle="1">
    <w:name w:val="Styl1"/>
    <w:basedOn w:val="Normal"/>
    <w:qFormat/>
    <w:rsid w:val="00cb6cc3"/>
    <w:pPr/>
    <w:rPr>
      <w:b/>
      <w:sz w:val="40"/>
      <w:lang w:val="en-US"/>
    </w:rPr>
  </w:style>
  <w:style w:type="paragraph" w:styleId="Styl2" w:customStyle="1">
    <w:name w:val="Styl2"/>
    <w:basedOn w:val="Normal"/>
    <w:qFormat/>
    <w:rsid w:val="00cb6cc3"/>
    <w:pPr>
      <w:tabs>
        <w:tab w:val="left" w:pos="-2694" w:leader="none"/>
      </w:tabs>
      <w:ind w:left="426" w:hanging="426"/>
    </w:pPr>
    <w:rPr>
      <w:color w:val="00000A"/>
    </w:rPr>
  </w:style>
  <w:style w:type="paragraph" w:styleId="Stylpracy1" w:customStyle="1">
    <w:name w:val="styl pracy1"/>
    <w:basedOn w:val="BodyTextIndent2"/>
    <w:qFormat/>
    <w:rsid w:val="00cb6cc3"/>
    <w:pPr>
      <w:spacing w:lineRule="auto" w:line="360"/>
      <w:ind w:firstLine="397"/>
    </w:pPr>
    <w:rPr>
      <w:color w:val="00000A"/>
      <w:szCs w:val="24"/>
    </w:rPr>
  </w:style>
  <w:style w:type="paragraph" w:styleId="Wypunktowanie3" w:customStyle="1">
    <w:name w:val="Wypunktowanie 3"/>
    <w:basedOn w:val="Normal"/>
    <w:qFormat/>
    <w:rsid w:val="00cb6cc3"/>
    <w:pPr/>
    <w:rPr/>
  </w:style>
  <w:style w:type="paragraph" w:styleId="BalloonText">
    <w:name w:val="Balloon Text"/>
    <w:basedOn w:val="Normal"/>
    <w:link w:val="TekstdymkaZnak"/>
    <w:semiHidden/>
    <w:qFormat/>
    <w:rsid w:val="00cb6cc3"/>
    <w:pPr/>
    <w:rPr>
      <w:rFonts w:cs="Tahoma"/>
      <w:sz w:val="16"/>
      <w:szCs w:val="16"/>
    </w:rPr>
  </w:style>
  <w:style w:type="paragraph" w:styleId="P38" w:customStyle="1">
    <w:name w:val="p38"/>
    <w:basedOn w:val="Normal"/>
    <w:qFormat/>
    <w:rsid w:val="00c93cfe"/>
    <w:pPr>
      <w:widowControl w:val="false"/>
      <w:tabs>
        <w:tab w:val="left" w:pos="180" w:leader="none"/>
      </w:tabs>
      <w:spacing w:lineRule="atLeast" w:line="280"/>
      <w:ind w:left="1296" w:hanging="144"/>
    </w:pPr>
    <w:rPr>
      <w:color w:val="00000A"/>
    </w:rPr>
  </w:style>
  <w:style w:type="paragraph" w:styleId="NormalWeb">
    <w:name w:val="Normal (Web)"/>
    <w:basedOn w:val="Normal"/>
    <w:link w:val="NormalnyWebZnak"/>
    <w:qFormat/>
    <w:rsid w:val="00a0693a"/>
    <w:pPr>
      <w:spacing w:beforeAutospacing="1" w:afterAutospacing="1"/>
    </w:pPr>
    <w:rPr>
      <w:color w:val="00000A"/>
      <w:szCs w:val="24"/>
    </w:rPr>
  </w:style>
  <w:style w:type="paragraph" w:styleId="Endnotetext">
    <w:name w:val="endnote text"/>
    <w:basedOn w:val="Normal"/>
    <w:link w:val="TekstprzypisukocowegoZnak"/>
    <w:semiHidden/>
    <w:qFormat/>
    <w:rsid w:val="004f2326"/>
    <w:pPr/>
    <w:rPr>
      <w:sz w:val="20"/>
    </w:rPr>
  </w:style>
  <w:style w:type="paragraph" w:styleId="ListNumber4">
    <w:name w:val="List Number 4"/>
    <w:basedOn w:val="Normal"/>
    <w:qFormat/>
    <w:rsid w:val="00c4061b"/>
    <w:pPr/>
    <w:rPr>
      <w:color w:val="00000A"/>
    </w:rPr>
  </w:style>
  <w:style w:type="paragraph" w:styleId="ListParagraph">
    <w:name w:val="List Paragraph"/>
    <w:basedOn w:val="Normal"/>
    <w:uiPriority w:val="34"/>
    <w:qFormat/>
    <w:rsid w:val="003c328a"/>
    <w:pPr>
      <w:spacing w:before="0" w:after="0"/>
      <w:ind w:left="720" w:firstLine="397"/>
      <w:contextualSpacing/>
    </w:pPr>
    <w:rPr/>
  </w:style>
  <w:style w:type="paragraph" w:styleId="Annotationtext">
    <w:name w:val="annotation text"/>
    <w:basedOn w:val="Normal"/>
    <w:link w:val="TekstkomentarzaZnak"/>
    <w:unhideWhenUsed/>
    <w:qFormat/>
    <w:rsid w:val="00bd7484"/>
    <w:pPr/>
    <w:rPr>
      <w:sz w:val="20"/>
    </w:rPr>
  </w:style>
  <w:style w:type="paragraph" w:styleId="Annotationsubject">
    <w:name w:val="annotation subject"/>
    <w:basedOn w:val="Annotationtext"/>
    <w:link w:val="TematkomentarzaZnak"/>
    <w:semiHidden/>
    <w:unhideWhenUsed/>
    <w:qFormat/>
    <w:rsid w:val="00bd7484"/>
    <w:pPr/>
    <w:rPr>
      <w:b/>
      <w:bCs/>
    </w:rPr>
  </w:style>
  <w:style w:type="paragraph" w:styleId="Textjustify" w:customStyle="1">
    <w:name w:val="text-justify"/>
    <w:basedOn w:val="Normal"/>
    <w:qFormat/>
    <w:rsid w:val="00c95405"/>
    <w:pPr>
      <w:spacing w:beforeAutospacing="1" w:afterAutospacing="1"/>
      <w:ind w:hanging="0"/>
      <w:jc w:val="left"/>
    </w:pPr>
    <w:rPr>
      <w:color w:val="00000A"/>
      <w:szCs w:val="24"/>
    </w:rPr>
  </w:style>
  <w:style w:type="paragraph" w:styleId="PlainText">
    <w:name w:val="Plain Text"/>
    <w:basedOn w:val="Normal"/>
    <w:link w:val="ZwykytekstZnak"/>
    <w:qFormat/>
    <w:rsid w:val="00b20d48"/>
    <w:pPr>
      <w:ind w:hanging="0"/>
      <w:jc w:val="left"/>
    </w:pPr>
    <w:rPr>
      <w:rFonts w:ascii="Courier New" w:hAnsi="Courier New" w:cs="Courier New"/>
      <w:color w:val="00000A"/>
      <w:sz w:val="20"/>
    </w:rPr>
  </w:style>
  <w:style w:type="paragraph" w:styleId="Tytutabeli" w:customStyle="1">
    <w:name w:val="Tytuł tabeli"/>
    <w:basedOn w:val="Normal"/>
    <w:link w:val="TytutabeliZnak"/>
    <w:qFormat/>
    <w:rsid w:val="003c72e3"/>
    <w:pPr/>
    <w:rPr>
      <w:i/>
      <w:sz w:val="22"/>
      <w:szCs w:val="24"/>
      <w:shd w:fill="FFFFFF" w:val="clear"/>
    </w:rPr>
  </w:style>
  <w:style w:type="paragraph" w:styleId="Revision">
    <w:name w:val="Revision"/>
    <w:uiPriority w:val="99"/>
    <w:semiHidden/>
    <w:qFormat/>
    <w:rsid w:val="00084a21"/>
    <w:pPr>
      <w:widowControl/>
      <w:bidi w:val="0"/>
      <w:jc w:val="left"/>
    </w:pPr>
    <w:rPr>
      <w:rFonts w:ascii="Calibri" w:hAnsi="Calibri" w:eastAsia="Calibri" w:cs="Times New Roman"/>
      <w:color w:val="auto"/>
      <w:sz w:val="22"/>
      <w:szCs w:val="22"/>
      <w:lang w:eastAsia="en-US" w:val="pl-PL" w:bidi="ar-SA"/>
    </w:rPr>
  </w:style>
  <w:style w:type="paragraph" w:styleId="Tekst" w:customStyle="1">
    <w:name w:val="Tekst"/>
    <w:basedOn w:val="Normal"/>
    <w:link w:val="TekstZnak"/>
    <w:uiPriority w:val="99"/>
    <w:qFormat/>
    <w:rsid w:val="00084a21"/>
    <w:pPr>
      <w:spacing w:lineRule="auto" w:line="288"/>
      <w:ind w:hanging="0"/>
    </w:pPr>
    <w:rPr>
      <w:color w:val="00000A"/>
    </w:rPr>
  </w:style>
  <w:style w:type="paragraph" w:styleId="Punktowaniel1" w:customStyle="1">
    <w:name w:val="Punktowaniel1"/>
    <w:basedOn w:val="Normal"/>
    <w:link w:val="Punktowaniel1Znak1"/>
    <w:uiPriority w:val="99"/>
    <w:qFormat/>
    <w:rsid w:val="00084a21"/>
    <w:pPr>
      <w:spacing w:lineRule="auto" w:line="288"/>
    </w:pPr>
    <w:rPr>
      <w:color w:val="00000A"/>
      <w:szCs w:val="24"/>
    </w:rPr>
  </w:style>
  <w:style w:type="paragraph" w:styleId="Standard" w:customStyle="1">
    <w:name w:val="Standard"/>
    <w:uiPriority w:val="99"/>
    <w:qFormat/>
    <w:rsid w:val="00084a21"/>
    <w:pPr>
      <w:widowControl/>
      <w:bidi w:val="0"/>
      <w:jc w:val="left"/>
    </w:pPr>
    <w:rPr>
      <w:rFonts w:ascii="Times New Roman" w:hAnsi="Times New Roman" w:eastAsia="Times New Roman" w:cs="Times New Roman"/>
      <w:color w:val="auto"/>
      <w:sz w:val="24"/>
      <w:szCs w:val="24"/>
      <w:lang w:val="pl-PL" w:eastAsia="pl-PL" w:bidi="ar-SA"/>
    </w:rPr>
  </w:style>
  <w:style w:type="paragraph" w:styleId="WWDomylnie" w:customStyle="1">
    <w:name w:val="WW-Domyślnie"/>
    <w:uiPriority w:val="99"/>
    <w:qFormat/>
    <w:rsid w:val="00084a21"/>
    <w:pPr>
      <w:widowControl w:val="false"/>
      <w:suppressAutoHyphens w:val="true"/>
      <w:bidi w:val="0"/>
      <w:spacing w:lineRule="atLeast" w:line="24"/>
      <w:jc w:val="both"/>
      <w:textAlignment w:val="baseline"/>
    </w:pPr>
    <w:rPr>
      <w:rFonts w:ascii="Times New Roman" w:hAnsi="Times New Roman" w:eastAsia="Times New Roman" w:cs="Times New Roman"/>
      <w:color w:val="auto"/>
      <w:sz w:val="24"/>
      <w:szCs w:val="24"/>
      <w:lang w:eastAsia="zh-CN" w:val="pl-PL" w:bidi="ar-SA"/>
    </w:rPr>
  </w:style>
  <w:style w:type="paragraph" w:styleId="Footnote" w:customStyle="1">
    <w:name w:val="Footnote"/>
    <w:basedOn w:val="WWDomylnie"/>
    <w:uiPriority w:val="99"/>
    <w:qFormat/>
    <w:rsid w:val="00084a21"/>
    <w:pPr/>
    <w:rPr>
      <w:sz w:val="20"/>
      <w:szCs w:val="20"/>
    </w:rPr>
  </w:style>
  <w:style w:type="paragraph" w:styleId="Rdo" w:customStyle="1">
    <w:name w:val="Źródło"/>
    <w:basedOn w:val="Normal"/>
    <w:uiPriority w:val="99"/>
    <w:qFormat/>
    <w:rsid w:val="00084a21"/>
    <w:pPr>
      <w:spacing w:before="120" w:after="120"/>
      <w:ind w:hanging="0"/>
    </w:pPr>
    <w:rPr>
      <w:i/>
      <w:color w:val="00000A"/>
      <w:sz w:val="18"/>
      <w:szCs w:val="24"/>
    </w:rPr>
  </w:style>
  <w:style w:type="paragraph" w:styleId="Default" w:customStyle="1">
    <w:name w:val="Default"/>
    <w:qFormat/>
    <w:rsid w:val="00084a21"/>
    <w:pPr>
      <w:widowControl/>
      <w:bidi w:val="0"/>
      <w:jc w:val="left"/>
    </w:pPr>
    <w:rPr>
      <w:rFonts w:ascii="Arial" w:hAnsi="Arial" w:eastAsia="Calibri" w:cs="Arial"/>
      <w:color w:val="000000"/>
      <w:sz w:val="24"/>
      <w:szCs w:val="24"/>
      <w:lang w:eastAsia="en-US" w:val="pl-PL" w:bidi="ar-SA"/>
    </w:rPr>
  </w:style>
  <w:style w:type="paragraph" w:styleId="Podpisrysunku" w:customStyle="1">
    <w:name w:val="Podpis rysunku"/>
    <w:basedOn w:val="Normal"/>
    <w:link w:val="PodpisrysunkuZnak"/>
    <w:qFormat/>
    <w:rsid w:val="00131df2"/>
    <w:pPr/>
    <w:rPr>
      <w:i/>
      <w:sz w:val="22"/>
      <w:shd w:fill="FFFFFF" w:val="clear"/>
    </w:rPr>
  </w:style>
  <w:style w:type="paragraph" w:styleId="APODPISTABELI" w:customStyle="1">
    <w:name w:val="a_PODPIS_TABELI"/>
    <w:link w:val="aPODPISTABELIZnak"/>
    <w:qFormat/>
    <w:rsid w:val="00776601"/>
    <w:pPr>
      <w:widowControl w:val="false"/>
      <w:jc w:val="center"/>
    </w:pPr>
    <w:rPr>
      <w:rFonts w:ascii="Times New Roman" w:hAnsi="Times New Roman" w:eastAsia="Times New Roman" w:cs="Times New Roman"/>
      <w:i w:val="false"/>
      <w:color w:val="00000A"/>
      <w:sz w:val="24"/>
      <w:szCs w:val="20"/>
      <w:lang w:val="pl-PL" w:eastAsia="pl-PL" w:bidi="ar-SA"/>
    </w:rPr>
  </w:style>
  <w:style w:type="paragraph" w:styleId="Caption">
    <w:name w:val="caption"/>
    <w:basedOn w:val="Normal"/>
    <w:link w:val="LegendaZnak"/>
    <w:unhideWhenUsed/>
    <w:qFormat/>
    <w:rsid w:val="00fa50a7"/>
    <w:pPr>
      <w:spacing w:before="120" w:after="120"/>
      <w:ind w:hanging="0"/>
    </w:pPr>
    <w:rPr>
      <w:b/>
      <w:bCs/>
      <w:i/>
      <w:sz w:val="22"/>
    </w:rPr>
  </w:style>
  <w:style w:type="paragraph" w:styleId="TOCHeading">
    <w:name w:val="TOC Heading"/>
    <w:basedOn w:val="Nagwek1"/>
    <w:uiPriority w:val="39"/>
    <w:unhideWhenUsed/>
    <w:qFormat/>
    <w:rsid w:val="006556b1"/>
    <w:pPr>
      <w:keepLines/>
      <w:numPr>
        <w:ilvl w:val="0"/>
        <w:numId w:val="0"/>
      </w:numPr>
      <w:spacing w:lineRule="auto" w:line="259" w:before="240" w:after="0"/>
      <w:ind w:firstLine="397"/>
    </w:pPr>
    <w:rPr>
      <w:rFonts w:ascii="Calibri Light" w:hAnsi="Calibri Light"/>
      <w:b w:val="false"/>
      <w:bCs w:val="false"/>
      <w:color w:val="2E74B5"/>
      <w:sz w:val="32"/>
      <w:szCs w:val="32"/>
    </w:rPr>
  </w:style>
  <w:style w:type="paragraph" w:styleId="Western" w:customStyle="1">
    <w:name w:val="western"/>
    <w:basedOn w:val="Normal"/>
    <w:qFormat/>
    <w:rsid w:val="005c08bf"/>
    <w:pPr>
      <w:spacing w:beforeAutospacing="1" w:afterAutospacing="1"/>
      <w:ind w:hanging="0"/>
      <w:jc w:val="left"/>
    </w:pPr>
    <w:rPr>
      <w:szCs w:val="24"/>
    </w:rPr>
  </w:style>
  <w:style w:type="paragraph" w:styleId="Western1" w:customStyle="1">
    <w:name w:val="western1"/>
    <w:basedOn w:val="Normal"/>
    <w:qFormat/>
    <w:rsid w:val="005c08bf"/>
    <w:pPr>
      <w:spacing w:beforeAutospacing="1" w:afterAutospacing="1"/>
      <w:ind w:hanging="0"/>
      <w:jc w:val="center"/>
    </w:pPr>
    <w:rPr>
      <w:szCs w:val="24"/>
    </w:rPr>
  </w:style>
  <w:style w:type="paragraph" w:styleId="Cjk" w:customStyle="1">
    <w:name w:val="cjk"/>
    <w:basedOn w:val="Normal"/>
    <w:qFormat/>
    <w:rsid w:val="005c08bf"/>
    <w:pPr>
      <w:spacing w:beforeAutospacing="1" w:afterAutospacing="1"/>
      <w:ind w:hanging="0"/>
      <w:jc w:val="left"/>
    </w:pPr>
    <w:rPr>
      <w:szCs w:val="24"/>
    </w:rPr>
  </w:style>
  <w:style w:type="paragraph" w:styleId="ATRETEKSTU" w:customStyle="1">
    <w:name w:val="a_TREŚĆ TEKSTU"/>
    <w:basedOn w:val="Nagwek1"/>
    <w:qFormat/>
    <w:rsid w:val="005c08bf"/>
    <w:pPr>
      <w:numPr>
        <w:ilvl w:val="0"/>
        <w:numId w:val="0"/>
      </w:numPr>
      <w:spacing w:before="0" w:after="120"/>
      <w:ind w:firstLine="397"/>
    </w:pPr>
    <w:rPr>
      <w:rFonts w:ascii="Times New Roman" w:hAnsi="Times New Roman"/>
      <w:b w:val="false"/>
      <w:szCs w:val="48"/>
    </w:rPr>
  </w:style>
  <w:style w:type="paragraph" w:styleId="Poziomo" w:customStyle="1">
    <w:name w:val="poziomo"/>
    <w:basedOn w:val="ATRETEKSTU"/>
    <w:qFormat/>
    <w:rsid w:val="005c08bf"/>
    <w:pPr>
      <w:spacing w:before="120" w:after="240"/>
    </w:pPr>
    <w:rPr/>
  </w:style>
  <w:style w:type="paragraph" w:styleId="Domy3flnie" w:customStyle="1">
    <w:name w:val="Domyś3flnie"/>
    <w:qFormat/>
    <w:rsid w:val="005c08bf"/>
    <w:pPr>
      <w:widowControl w:val="false"/>
      <w:bidi w:val="0"/>
      <w:jc w:val="left"/>
    </w:pPr>
    <w:rPr>
      <w:rFonts w:ascii="Times New Roman" w:hAnsi="Times New Roman" w:eastAsia="Times New Roman" w:cs="Times New Roman"/>
      <w:color w:val="auto"/>
      <w:sz w:val="24"/>
      <w:szCs w:val="24"/>
      <w:lang w:val="pl-PL" w:eastAsia="pl-PL" w:bidi="ar-SA"/>
    </w:rPr>
  </w:style>
  <w:style w:type="paragraph" w:styleId="Zawartotabeli" w:customStyle="1">
    <w:name w:val="Zawartość tabeli"/>
    <w:basedOn w:val="Domy3flnie"/>
    <w:qFormat/>
    <w:rsid w:val="005c08bf"/>
    <w:pPr>
      <w:widowControl/>
      <w:suppressLineNumbers/>
    </w:pPr>
    <w:rPr/>
  </w:style>
  <w:style w:type="paragraph" w:styleId="Zawarto3f3ftabeli" w:customStyle="1">
    <w:name w:val="Zawartoś3fć3f tabeli"/>
    <w:basedOn w:val="Domy3flnie"/>
    <w:qFormat/>
    <w:rsid w:val="005c08bf"/>
    <w:pPr>
      <w:widowControl/>
      <w:suppressLineNumbers/>
    </w:pPr>
    <w:rPr/>
  </w:style>
  <w:style w:type="paragraph" w:styleId="Tekstpodstawowywci3fty2" w:customStyle="1">
    <w:name w:val="Tekst podstawowy wcię3fty 2"/>
    <w:basedOn w:val="Domy3flnie"/>
    <w:qFormat/>
    <w:rsid w:val="005c08bf"/>
    <w:pPr>
      <w:widowControl/>
      <w:ind w:left="1418" w:hanging="709"/>
    </w:pPr>
    <w:rPr>
      <w:sz w:val="32"/>
      <w:szCs w:val="32"/>
    </w:rPr>
  </w:style>
  <w:style w:type="paragraph" w:styleId="Tekst1" w:customStyle="1">
    <w:name w:val="tekst"/>
    <w:basedOn w:val="Normal"/>
    <w:qFormat/>
    <w:rsid w:val="005c08bf"/>
    <w:pPr>
      <w:spacing w:beforeAutospacing="1" w:afterAutospacing="1"/>
      <w:ind w:hanging="0"/>
    </w:pPr>
    <w:rPr>
      <w:szCs w:val="24"/>
    </w:rPr>
  </w:style>
  <w:style w:type="paragraph" w:styleId="Akapitzlist1" w:customStyle="1">
    <w:name w:val="Akapit z listą1"/>
    <w:basedOn w:val="Normal"/>
    <w:qFormat/>
    <w:rsid w:val="005c08bf"/>
    <w:pPr>
      <w:spacing w:before="0" w:after="0"/>
      <w:ind w:left="720" w:hanging="0"/>
      <w:contextualSpacing/>
      <w:jc w:val="left"/>
    </w:pPr>
    <w:rPr>
      <w:szCs w:val="24"/>
    </w:rPr>
  </w:style>
  <w:style w:type="paragraph" w:styleId="ListBullet2">
    <w:name w:val="List Bullet 2"/>
    <w:basedOn w:val="Normal"/>
    <w:autoRedefine/>
    <w:qFormat/>
    <w:rsid w:val="005c08bf"/>
    <w:pPr>
      <w:spacing w:before="0" w:after="120"/>
      <w:jc w:val="left"/>
    </w:pPr>
    <w:rPr>
      <w:rFonts w:eastAsia="Calibri"/>
      <w:szCs w:val="24"/>
    </w:rPr>
  </w:style>
  <w:style w:type="paragraph" w:styleId="Punkty3" w:customStyle="1">
    <w:name w:val="Punkty 3"/>
    <w:basedOn w:val="Normal"/>
    <w:qFormat/>
    <w:rsid w:val="005c08bf"/>
    <w:pPr>
      <w:tabs>
        <w:tab w:val="left" w:pos="717" w:leader="none"/>
      </w:tabs>
      <w:spacing w:lineRule="exact" w:line="320"/>
      <w:ind w:left="717" w:firstLine="397"/>
    </w:pPr>
    <w:rPr>
      <w:rFonts w:ascii="Cambria" w:hAnsi="Cambria" w:eastAsia="Calibri"/>
      <w:szCs w:val="24"/>
    </w:rPr>
  </w:style>
  <w:style w:type="paragraph" w:styleId="Punktz4" w:customStyle="1">
    <w:name w:val="Punktz 4"/>
    <w:basedOn w:val="Normal"/>
    <w:qFormat/>
    <w:rsid w:val="005c08bf"/>
    <w:pPr>
      <w:shd w:val="clear" w:color="auto" w:fill="FFFFFF"/>
      <w:spacing w:before="120" w:after="60"/>
    </w:pPr>
    <w:rPr>
      <w:rFonts w:ascii="Cambria" w:hAnsi="Cambria" w:eastAsia="Calibri"/>
      <w:bCs/>
      <w:sz w:val="26"/>
      <w:szCs w:val="24"/>
    </w:rPr>
  </w:style>
  <w:style w:type="paragraph" w:styleId="StylTekstpodstawowy1Interliniapojedyncze" w:customStyle="1">
    <w:name w:val="Styl Tekst podstawowy 1 + Interlinia:  pojedyncze"/>
    <w:basedOn w:val="Normal"/>
    <w:qFormat/>
    <w:rsid w:val="005c08bf"/>
    <w:pPr>
      <w:spacing w:lineRule="exact" w:line="320"/>
      <w:ind w:firstLine="697"/>
    </w:pPr>
    <w:rPr>
      <w:rFonts w:ascii="Cambria" w:hAnsi="Cambria" w:eastAsia="Calibri"/>
    </w:rPr>
  </w:style>
  <w:style w:type="paragraph" w:styleId="Zawartoramki">
    <w:name w:val="Zawartość ramki"/>
    <w:basedOn w:val="Normal"/>
    <w:qFormat/>
    <w:pPr/>
    <w:rPr/>
  </w:style>
  <w:style w:type="paragraph" w:styleId="Przypisdolny">
    <w:name w:val="Footnote Text"/>
    <w:basedOn w:val="Normal"/>
    <w:pPr/>
    <w:rPr/>
  </w:style>
  <w:style w:type="numbering" w:styleId="NoList" w:default="1">
    <w:name w:val="No List"/>
    <w:uiPriority w:val="99"/>
    <w:semiHidden/>
    <w:unhideWhenUsed/>
    <w:qFormat/>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table" w:styleId="Tabela-Siatka">
    <w:name w:val="Table Grid"/>
    <w:basedOn w:val="Standardowy"/>
    <w:rsid w:val="00fe6900"/>
    <w:pPr>
      <w:spacing w:line="36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footer" Target="footer1.xml"/><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png"/><Relationship Id="rId8" Type="http://schemas.openxmlformats.org/officeDocument/2006/relationships/image" Target="media/image6.jpeg"/><Relationship Id="rId9" Type="http://schemas.openxmlformats.org/officeDocument/2006/relationships/image" Target="media/image7.png"/><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footer" Target="footer2.xml"/><Relationship Id="rId13" Type="http://schemas.openxmlformats.org/officeDocument/2006/relationships/footer" Target="footer3.xml"/><Relationship Id="rId14" Type="http://schemas.openxmlformats.org/officeDocument/2006/relationships/footer" Target="footer4.xml"/><Relationship Id="rId15" Type="http://schemas.openxmlformats.org/officeDocument/2006/relationships/header" Target="header3.xml"/><Relationship Id="rId16" Type="http://schemas.openxmlformats.org/officeDocument/2006/relationships/header" Target="header4.xml"/><Relationship Id="rId17" Type="http://schemas.openxmlformats.org/officeDocument/2006/relationships/footer" Target="footer5.xml"/><Relationship Id="rId18" Type="http://schemas.openxmlformats.org/officeDocument/2006/relationships/footer" Target="footer6.xml"/><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header" Target="header5.xml"/><Relationship Id="rId35" Type="http://schemas.openxmlformats.org/officeDocument/2006/relationships/header" Target="header6.xml"/><Relationship Id="rId36" Type="http://schemas.openxmlformats.org/officeDocument/2006/relationships/footer" Target="footer7.xml"/><Relationship Id="rId37" Type="http://schemas.openxmlformats.org/officeDocument/2006/relationships/footer" Target="footer8.xml"/><Relationship Id="rId38" Type="http://schemas.openxmlformats.org/officeDocument/2006/relationships/header" Target="header7.xml"/><Relationship Id="rId39" Type="http://schemas.openxmlformats.org/officeDocument/2006/relationships/header" Target="header8.xml"/><Relationship Id="rId40" Type="http://schemas.openxmlformats.org/officeDocument/2006/relationships/footer" Target="footer9.xml"/><Relationship Id="rId41" Type="http://schemas.openxmlformats.org/officeDocument/2006/relationships/footer" Target="footer10.xml"/><Relationship Id="rId42" Type="http://schemas.openxmlformats.org/officeDocument/2006/relationships/image" Target="media/image23.png"/><Relationship Id="rId43" Type="http://schemas.openxmlformats.org/officeDocument/2006/relationships/image" Target="media/image24.png"/><Relationship Id="rId44" Type="http://schemas.openxmlformats.org/officeDocument/2006/relationships/image" Target="media/image25.png"/><Relationship Id="rId45" Type="http://schemas.openxmlformats.org/officeDocument/2006/relationships/image" Target="media/image26.png"/><Relationship Id="rId46" Type="http://schemas.openxmlformats.org/officeDocument/2006/relationships/image" Target="media/image27.png"/><Relationship Id="rId47" Type="http://schemas.openxmlformats.org/officeDocument/2006/relationships/image" Target="media/image28.png"/><Relationship Id="rId48" Type="http://schemas.openxmlformats.org/officeDocument/2006/relationships/image" Target="media/image29.png"/><Relationship Id="rId49" Type="http://schemas.openxmlformats.org/officeDocument/2006/relationships/image" Target="media/image30.png"/><Relationship Id="rId50" Type="http://schemas.openxmlformats.org/officeDocument/2006/relationships/image" Target="media/image31.png"/><Relationship Id="rId51" Type="http://schemas.openxmlformats.org/officeDocument/2006/relationships/image" Target="media/image32.png"/><Relationship Id="rId52" Type="http://schemas.openxmlformats.org/officeDocument/2006/relationships/image" Target="media/image33.png"/><Relationship Id="rId53" Type="http://schemas.openxmlformats.org/officeDocument/2006/relationships/image" Target="media/image34.png"/><Relationship Id="rId54" Type="http://schemas.openxmlformats.org/officeDocument/2006/relationships/image" Target="media/image35.png"/><Relationship Id="rId55" Type="http://schemas.openxmlformats.org/officeDocument/2006/relationships/image" Target="media/image36.png"/><Relationship Id="rId56" Type="http://schemas.openxmlformats.org/officeDocument/2006/relationships/header" Target="header9.xml"/><Relationship Id="rId57" Type="http://schemas.openxmlformats.org/officeDocument/2006/relationships/header" Target="header10.xml"/><Relationship Id="rId58" Type="http://schemas.openxmlformats.org/officeDocument/2006/relationships/footer" Target="footer11.xml"/><Relationship Id="rId59" Type="http://schemas.openxmlformats.org/officeDocument/2006/relationships/footer" Target="footer12.xml"/><Relationship Id="rId60" Type="http://schemas.openxmlformats.org/officeDocument/2006/relationships/header" Target="header11.xml"/><Relationship Id="rId61" Type="http://schemas.openxmlformats.org/officeDocument/2006/relationships/header" Target="header12.xml"/><Relationship Id="rId62" Type="http://schemas.openxmlformats.org/officeDocument/2006/relationships/footer" Target="footer13.xml"/><Relationship Id="rId63" Type="http://schemas.openxmlformats.org/officeDocument/2006/relationships/footer" Target="footer14.xml"/><Relationship Id="rId64" Type="http://schemas.openxmlformats.org/officeDocument/2006/relationships/header" Target="header13.xml"/><Relationship Id="rId65" Type="http://schemas.openxmlformats.org/officeDocument/2006/relationships/image" Target="media/image37.png"/><Relationship Id="rId66" Type="http://schemas.openxmlformats.org/officeDocument/2006/relationships/image" Target="media/image38.png"/><Relationship Id="rId67" Type="http://schemas.openxmlformats.org/officeDocument/2006/relationships/image" Target="media/image39.png"/><Relationship Id="rId68" Type="http://schemas.openxmlformats.org/officeDocument/2006/relationships/image" Target="media/image40.png"/><Relationship Id="rId69" Type="http://schemas.openxmlformats.org/officeDocument/2006/relationships/image" Target="media/image41.png"/><Relationship Id="rId70" Type="http://schemas.openxmlformats.org/officeDocument/2006/relationships/image" Target="media/image42.png"/><Relationship Id="rId71" Type="http://schemas.openxmlformats.org/officeDocument/2006/relationships/image" Target="media/image43.png"/><Relationship Id="rId72" Type="http://schemas.openxmlformats.org/officeDocument/2006/relationships/image" Target="media/image44.wmf"/><Relationship Id="rId73" Type="http://schemas.openxmlformats.org/officeDocument/2006/relationships/image" Target="media/image45.wmf"/><Relationship Id="rId74" Type="http://schemas.openxmlformats.org/officeDocument/2006/relationships/header" Target="header14.xml"/><Relationship Id="rId75" Type="http://schemas.openxmlformats.org/officeDocument/2006/relationships/header" Target="header15.xml"/><Relationship Id="rId76" Type="http://schemas.openxmlformats.org/officeDocument/2006/relationships/footer" Target="footer15.xml"/><Relationship Id="rId77" Type="http://schemas.openxmlformats.org/officeDocument/2006/relationships/footer" Target="footer16.xml"/><Relationship Id="rId78" Type="http://schemas.openxmlformats.org/officeDocument/2006/relationships/header" Target="header16.xml"/><Relationship Id="rId79" Type="http://schemas.openxmlformats.org/officeDocument/2006/relationships/header" Target="header17.xml"/><Relationship Id="rId80" Type="http://schemas.openxmlformats.org/officeDocument/2006/relationships/footer" Target="footer17.xml"/><Relationship Id="rId81" Type="http://schemas.openxmlformats.org/officeDocument/2006/relationships/footer" Target="footer18.xml"/><Relationship Id="rId82" Type="http://schemas.openxmlformats.org/officeDocument/2006/relationships/footnotes" Target="footnotes.xml"/><Relationship Id="rId83" Type="http://schemas.openxmlformats.org/officeDocument/2006/relationships/numbering" Target="numbering.xml"/><Relationship Id="rId84" Type="http://schemas.openxmlformats.org/officeDocument/2006/relationships/fontTable" Target="fontTable.xml"/><Relationship Id="rId85" Type="http://schemas.openxmlformats.org/officeDocument/2006/relationships/settings" Target="settings.xml"/><Relationship Id="rId86" Type="http://schemas.openxmlformats.org/officeDocument/2006/relationships/theme" Target="theme/theme1.xml"/><Relationship Id="rId87" Type="http://schemas.openxmlformats.org/officeDocument/2006/relationships/customXml" Target="../customXml/item1.xml"/>
</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860D4-BAC9-4BEC-81CE-D2734D57C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689</TotalTime>
  <Application>LibreOffice/5.2.3.3$Windows_x86 LibreOffice_project/d54a8868f08a7b39642414cf2c8ef2f228f780cf</Application>
  <Pages>170</Pages>
  <Words>60848</Words>
  <Characters>407768</Characters>
  <CharactersWithSpaces>465385</CharactersWithSpaces>
  <Paragraphs>4328</Paragraphs>
  <Company>-</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2018-06-05T09:00:00Z</dcterms:created>
  <dc:creator>mf</dc:creator>
  <dc:description/>
  <dc:language>pl-PL</dc:language>
  <cp:lastModifiedBy/>
  <cp:lastPrinted>2018-07-05T08:05:00Z</cp:lastPrinted>
  <dcterms:modified xsi:type="dcterms:W3CDTF">2018-11-06T19:32:23Z</dcterms:modified>
  <cp:revision>29</cp:revision>
  <dc:subject/>
  <dc:title>OPERAT  WODNO-PRAWNY</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